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F1EE" w14:textId="382E7EEB" w:rsidR="00077A03" w:rsidRPr="00160271" w:rsidRDefault="00F5779F" w:rsidP="00077A03">
      <w:pPr>
        <w:spacing w:after="0"/>
        <w:rPr>
          <w:rFonts w:cstheme="minorHAnsi"/>
          <w:sz w:val="20"/>
          <w:szCs w:val="20"/>
        </w:rPr>
      </w:pPr>
      <w:r w:rsidRPr="00F5779F">
        <w:rPr>
          <w:rFonts w:cstheme="minorHAnsi"/>
          <w:noProof/>
          <w:sz w:val="20"/>
          <w:szCs w:val="20"/>
        </w:rPr>
        <w:drawing>
          <wp:anchor distT="0" distB="0" distL="114300" distR="114300" simplePos="0" relativeHeight="251658241" behindDoc="0" locked="0" layoutInCell="1" allowOverlap="1" wp14:anchorId="2338421D" wp14:editId="4BAF1178">
            <wp:simplePos x="0" y="0"/>
            <wp:positionH relativeFrom="page">
              <wp:posOffset>6934200</wp:posOffset>
            </wp:positionH>
            <wp:positionV relativeFrom="paragraph">
              <wp:posOffset>-838200</wp:posOffset>
            </wp:positionV>
            <wp:extent cx="749300" cy="749300"/>
            <wp:effectExtent l="0" t="0" r="0" b="0"/>
            <wp:wrapNone/>
            <wp:docPr id="3" name="Picture 2" descr="Logo&#10;&#10;Description automatically generated">
              <a:extLst xmlns:a="http://schemas.openxmlformats.org/drawingml/2006/main">
                <a:ext uri="{FF2B5EF4-FFF2-40B4-BE49-F238E27FC236}">
                  <a16:creationId xmlns:a16="http://schemas.microsoft.com/office/drawing/2014/main" id="{AAA67CDA-EA0C-444E-AD7F-2BA62FDE5F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AAA67CDA-EA0C-444E-AD7F-2BA62FDE5F3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14:sizeRelH relativeFrom="margin">
              <wp14:pctWidth>0</wp14:pctWidth>
            </wp14:sizeRelH>
            <wp14:sizeRelV relativeFrom="margin">
              <wp14:pctHeight>0</wp14:pctHeight>
            </wp14:sizeRelV>
          </wp:anchor>
        </w:drawing>
      </w:r>
      <w:r w:rsidR="007749DC" w:rsidRPr="007749DC">
        <w:rPr>
          <w:rFonts w:cstheme="minorHAnsi"/>
          <w:b/>
          <w:bCs/>
          <w:noProof/>
          <w:sz w:val="20"/>
          <w:szCs w:val="20"/>
          <w:u w:val="single"/>
        </w:rPr>
        <mc:AlternateContent>
          <mc:Choice Requires="wps">
            <w:drawing>
              <wp:anchor distT="0" distB="0" distL="114300" distR="114300" simplePos="0" relativeHeight="251658240" behindDoc="0" locked="0" layoutInCell="1" allowOverlap="1" wp14:anchorId="53117EE6" wp14:editId="1E88F802">
                <wp:simplePos x="0" y="0"/>
                <wp:positionH relativeFrom="page">
                  <wp:align>left</wp:align>
                </wp:positionH>
                <wp:positionV relativeFrom="paragraph">
                  <wp:posOffset>-914400</wp:posOffset>
                </wp:positionV>
                <wp:extent cx="12205487" cy="901700"/>
                <wp:effectExtent l="0" t="0" r="5715" b="0"/>
                <wp:wrapNone/>
                <wp:docPr id="2" name="Title 1">
                  <a:extLst xmlns:a="http://schemas.openxmlformats.org/drawingml/2006/main">
                    <a:ext uri="{FF2B5EF4-FFF2-40B4-BE49-F238E27FC236}">
                      <a16:creationId xmlns:a16="http://schemas.microsoft.com/office/drawing/2014/main" id="{52ED836B-FD27-4AF1-B6F0-B8E79E37F2C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2205487" cy="901700"/>
                        </a:xfrm>
                        <a:prstGeom prst="rect">
                          <a:avLst/>
                        </a:prstGeom>
                        <a:solidFill>
                          <a:schemeClr val="tx2"/>
                        </a:solidFill>
                        <a:ln w="38100">
                          <a:noFill/>
                        </a:ln>
                      </wps:spPr>
                      <wps:txbx>
                        <w:txbxContent>
                          <w:p w14:paraId="633DF910" w14:textId="494F0F48" w:rsidR="007749DC" w:rsidRPr="006C38CA" w:rsidRDefault="007749DC" w:rsidP="006C38CA">
                            <w:pPr>
                              <w:spacing w:after="0" w:line="240" w:lineRule="auto"/>
                              <w:rPr>
                                <w:rFonts w:cstheme="minorHAnsi"/>
                                <w:b/>
                                <w:bCs/>
                                <w:color w:val="FFFFFF" w:themeColor="background1"/>
                                <w:sz w:val="44"/>
                                <w:szCs w:val="44"/>
                              </w:rPr>
                            </w:pPr>
                            <w:r w:rsidRPr="006C38CA">
                              <w:rPr>
                                <w:rFonts w:cstheme="minorHAnsi"/>
                                <w:b/>
                                <w:bCs/>
                                <w:color w:val="FFFFFF" w:themeColor="background1"/>
                                <w:sz w:val="44"/>
                                <w:szCs w:val="44"/>
                              </w:rPr>
                              <w:t>Coronavirus Local Fiscal Recovery Funds</w:t>
                            </w:r>
                            <w:r w:rsidRPr="006C38CA">
                              <w:rPr>
                                <w:rFonts w:cstheme="minorHAnsi"/>
                                <w:b/>
                                <w:bCs/>
                                <w:color w:val="FFFFFF" w:themeColor="background1"/>
                                <w:sz w:val="52"/>
                                <w:szCs w:val="52"/>
                              </w:rPr>
                              <w:t> </w:t>
                            </w:r>
                            <w:r w:rsidRPr="006C38CA">
                              <w:rPr>
                                <w:rFonts w:cstheme="minorHAnsi"/>
                                <w:b/>
                                <w:bCs/>
                                <w:color w:val="FFFFFF" w:themeColor="background1"/>
                                <w:sz w:val="44"/>
                                <w:szCs w:val="44"/>
                              </w:rPr>
                              <w:t xml:space="preserve"> </w:t>
                            </w:r>
                          </w:p>
                          <w:p w14:paraId="5B88BCBE" w14:textId="155A0E56" w:rsidR="007749DC" w:rsidRPr="00F67639" w:rsidRDefault="00F67639" w:rsidP="00F67639">
                            <w:pPr>
                              <w:spacing w:after="0" w:line="240" w:lineRule="auto"/>
                              <w:rPr>
                                <w:rFonts w:cstheme="minorHAnsi"/>
                                <w:i/>
                                <w:iCs/>
                                <w:color w:val="FFFFFF" w:themeColor="background1"/>
                                <w:sz w:val="28"/>
                                <w:szCs w:val="28"/>
                              </w:rPr>
                            </w:pPr>
                            <w:r w:rsidRPr="00F67639">
                              <w:rPr>
                                <w:i/>
                                <w:iCs/>
                                <w:color w:val="FFFFFF" w:themeColor="background1"/>
                              </w:rPr>
                              <w:t xml:space="preserve">Frequently Asked Questions on Allowable Uses and Reporting Requirements </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53117EE6" id="Title 1" o:spid="_x0000_s1026" style="position:absolute;margin-left:0;margin-top:-1in;width:961.05pt;height:71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" fillcolor="#44546a [3215]" stroked="f" strokeweight="3pt">
                <o:lock v:ext="edit" grouping="t"/>
                <v:textbox>
                  <w:txbxContent>
                    <w:p w14:paraId="633DF910" w14:textId="494F0F48" w:rsidR="007749DC" w:rsidRPr="006C38CA" w:rsidRDefault="007749DC" w:rsidP="006C38CA">
                      <w:pPr>
                        <w:spacing w:after="0" w:line="240" w:lineRule="auto"/>
                        <w:rPr>
                          <w:rFonts w:cstheme="minorHAnsi"/>
                          <w:b/>
                          <w:bCs/>
                          <w:color w:val="FFFFFF" w:themeColor="background1"/>
                          <w:sz w:val="44"/>
                          <w:szCs w:val="44"/>
                        </w:rPr>
                      </w:pPr>
                      <w:r w:rsidRPr="006C38CA">
                        <w:rPr>
                          <w:rFonts w:cstheme="minorHAnsi"/>
                          <w:b/>
                          <w:bCs/>
                          <w:color w:val="FFFFFF" w:themeColor="background1"/>
                          <w:sz w:val="44"/>
                          <w:szCs w:val="44"/>
                        </w:rPr>
                        <w:t>Coronavirus Local Fiscal Recovery Funds</w:t>
                      </w:r>
                      <w:r w:rsidRPr="006C38CA">
                        <w:rPr>
                          <w:rFonts w:cstheme="minorHAnsi"/>
                          <w:b/>
                          <w:bCs/>
                          <w:color w:val="FFFFFF" w:themeColor="background1"/>
                          <w:sz w:val="52"/>
                          <w:szCs w:val="52"/>
                        </w:rPr>
                        <w:t> </w:t>
                      </w:r>
                      <w:r w:rsidRPr="006C38CA">
                        <w:rPr>
                          <w:rFonts w:cstheme="minorHAnsi"/>
                          <w:b/>
                          <w:bCs/>
                          <w:color w:val="FFFFFF" w:themeColor="background1"/>
                          <w:sz w:val="44"/>
                          <w:szCs w:val="44"/>
                        </w:rPr>
                        <w:t xml:space="preserve"> </w:t>
                      </w:r>
                    </w:p>
                    <w:p w14:paraId="5B88BCBE" w14:textId="155A0E56" w:rsidR="007749DC" w:rsidRPr="00F67639" w:rsidRDefault="00F67639" w:rsidP="00F67639">
                      <w:pPr>
                        <w:spacing w:after="0" w:line="240" w:lineRule="auto"/>
                        <w:rPr>
                          <w:rFonts w:cstheme="minorHAnsi"/>
                          <w:i/>
                          <w:iCs/>
                          <w:color w:val="FFFFFF" w:themeColor="background1"/>
                          <w:sz w:val="28"/>
                          <w:szCs w:val="28"/>
                        </w:rPr>
                      </w:pPr>
                      <w:r w:rsidRPr="00F67639">
                        <w:rPr>
                          <w:i/>
                          <w:iCs/>
                          <w:color w:val="FFFFFF" w:themeColor="background1"/>
                        </w:rPr>
                        <w:t xml:space="preserve">Frequently Asked Questions on Allowable Uses and Reporting Requirements </w:t>
                      </w:r>
                    </w:p>
                  </w:txbxContent>
                </v:textbox>
                <w10:wrap anchorx="page"/>
              </v:rect>
            </w:pict>
          </mc:Fallback>
        </mc:AlternateContent>
      </w:r>
    </w:p>
    <w:p w14:paraId="28BBCCA9" w14:textId="136BA7B0" w:rsidR="002B747D" w:rsidRPr="002B747D" w:rsidRDefault="00F81AB5" w:rsidP="00077A03">
      <w:pPr>
        <w:spacing w:after="0"/>
        <w:rPr>
          <w:rFonts w:cstheme="minorHAnsi"/>
          <w:b/>
          <w:bCs/>
          <w:sz w:val="20"/>
          <w:szCs w:val="20"/>
        </w:rPr>
      </w:pPr>
      <w:r w:rsidRPr="002B747D">
        <w:rPr>
          <w:rFonts w:cstheme="minorHAnsi"/>
          <w:b/>
          <w:bCs/>
          <w:sz w:val="20"/>
          <w:szCs w:val="20"/>
        </w:rPr>
        <w:t>Purpose</w:t>
      </w:r>
    </w:p>
    <w:p w14:paraId="5F675C5B" w14:textId="633E41E5" w:rsidR="00F81AB5" w:rsidRPr="000D0A5B" w:rsidRDefault="00F81AB5" w:rsidP="743E40D5">
      <w:pPr>
        <w:spacing w:after="0"/>
        <w:rPr>
          <w:sz w:val="20"/>
          <w:szCs w:val="20"/>
        </w:rPr>
      </w:pPr>
      <w:r w:rsidRPr="743E40D5">
        <w:rPr>
          <w:sz w:val="20"/>
          <w:szCs w:val="20"/>
        </w:rPr>
        <w:t xml:space="preserve">This document </w:t>
      </w:r>
      <w:r w:rsidR="00980978" w:rsidRPr="743E40D5">
        <w:rPr>
          <w:sz w:val="20"/>
          <w:szCs w:val="20"/>
        </w:rPr>
        <w:t>provides</w:t>
      </w:r>
      <w:r w:rsidRPr="743E40D5">
        <w:rPr>
          <w:sz w:val="20"/>
          <w:szCs w:val="20"/>
        </w:rPr>
        <w:t xml:space="preserve"> answers to frequently asked questions by New Hampshire local government stakeholders regarding the Local Fiscal Recovery Funds established by the American Rescue Plan Act.  </w:t>
      </w:r>
      <w:r w:rsidR="00472EC3" w:rsidRPr="743E40D5">
        <w:rPr>
          <w:sz w:val="20"/>
          <w:szCs w:val="20"/>
        </w:rPr>
        <w:t xml:space="preserve">This document </w:t>
      </w:r>
      <w:r w:rsidR="00CF0011" w:rsidRPr="743E40D5">
        <w:rPr>
          <w:sz w:val="20"/>
          <w:szCs w:val="20"/>
        </w:rPr>
        <w:t>is subject to revision as guidance evolves</w:t>
      </w:r>
      <w:r w:rsidR="00FA6264" w:rsidRPr="743E40D5">
        <w:rPr>
          <w:sz w:val="20"/>
          <w:szCs w:val="20"/>
        </w:rPr>
        <w:t>.</w:t>
      </w:r>
    </w:p>
    <w:p w14:paraId="1EF3CC6E" w14:textId="5B73DCDC" w:rsidR="00F81AB5" w:rsidRPr="00160271" w:rsidRDefault="00F81AB5" w:rsidP="00077A03">
      <w:pPr>
        <w:spacing w:after="0"/>
        <w:rPr>
          <w:rFonts w:cstheme="minorHAnsi"/>
          <w:sz w:val="20"/>
          <w:szCs w:val="20"/>
        </w:rPr>
      </w:pPr>
      <w:r w:rsidRPr="00160271">
        <w:rPr>
          <w:rFonts w:cstheme="minorHAnsi"/>
          <w:sz w:val="20"/>
          <w:szCs w:val="20"/>
        </w:rPr>
        <w:t xml:space="preserve"> </w:t>
      </w:r>
    </w:p>
    <w:p w14:paraId="5335F776" w14:textId="5388753B" w:rsidR="00077A03" w:rsidRPr="00160271" w:rsidRDefault="00226550" w:rsidP="00077A03">
      <w:pPr>
        <w:spacing w:after="0"/>
        <w:rPr>
          <w:rFonts w:cstheme="minorHAnsi"/>
          <w:b/>
          <w:bCs/>
          <w:sz w:val="20"/>
          <w:szCs w:val="20"/>
        </w:rPr>
      </w:pPr>
      <w:r w:rsidRPr="00160271">
        <w:rPr>
          <w:rFonts w:cstheme="minorHAnsi"/>
          <w:b/>
          <w:bCs/>
          <w:sz w:val="20"/>
          <w:szCs w:val="20"/>
        </w:rPr>
        <w:t xml:space="preserve">A. </w:t>
      </w:r>
      <w:r w:rsidR="00077A03" w:rsidRPr="00160271">
        <w:rPr>
          <w:rFonts w:cstheme="minorHAnsi"/>
          <w:b/>
          <w:bCs/>
          <w:sz w:val="20"/>
          <w:szCs w:val="20"/>
        </w:rPr>
        <w:t>General Background</w:t>
      </w:r>
    </w:p>
    <w:tbl>
      <w:tblPr>
        <w:tblStyle w:val="TableGrid"/>
        <w:tblW w:w="9355" w:type="dxa"/>
        <w:tblLook w:val="04A0" w:firstRow="1" w:lastRow="0" w:firstColumn="1" w:lastColumn="0" w:noHBand="0" w:noVBand="1"/>
      </w:tblPr>
      <w:tblGrid>
        <w:gridCol w:w="355"/>
        <w:gridCol w:w="1980"/>
        <w:gridCol w:w="7020"/>
      </w:tblGrid>
      <w:tr w:rsidR="000D0A5B" w:rsidRPr="00160271" w14:paraId="247222D8" w14:textId="77777777" w:rsidTr="40485134">
        <w:tc>
          <w:tcPr>
            <w:tcW w:w="355" w:type="dxa"/>
          </w:tcPr>
          <w:p w14:paraId="249C2970" w14:textId="444A0794" w:rsidR="000D0A5B" w:rsidRPr="00160271" w:rsidRDefault="000D0A5B" w:rsidP="00077A03">
            <w:pPr>
              <w:rPr>
                <w:rFonts w:cstheme="minorHAnsi"/>
                <w:b/>
                <w:bCs/>
                <w:sz w:val="20"/>
                <w:szCs w:val="20"/>
              </w:rPr>
            </w:pPr>
            <w:r w:rsidRPr="00160271">
              <w:rPr>
                <w:rFonts w:cstheme="minorHAnsi"/>
                <w:b/>
                <w:bCs/>
                <w:sz w:val="20"/>
                <w:szCs w:val="20"/>
              </w:rPr>
              <w:t>#</w:t>
            </w:r>
          </w:p>
        </w:tc>
        <w:tc>
          <w:tcPr>
            <w:tcW w:w="1980" w:type="dxa"/>
          </w:tcPr>
          <w:p w14:paraId="15EE61B1" w14:textId="36899929" w:rsidR="000D0A5B" w:rsidRPr="00160271" w:rsidRDefault="000D0A5B" w:rsidP="00077A03">
            <w:pPr>
              <w:rPr>
                <w:rFonts w:cstheme="minorHAnsi"/>
                <w:b/>
                <w:bCs/>
                <w:sz w:val="20"/>
                <w:szCs w:val="20"/>
              </w:rPr>
            </w:pPr>
            <w:r w:rsidRPr="00160271">
              <w:rPr>
                <w:rFonts w:cstheme="minorHAnsi"/>
                <w:b/>
                <w:bCs/>
                <w:sz w:val="20"/>
                <w:szCs w:val="20"/>
              </w:rPr>
              <w:t>Question</w:t>
            </w:r>
          </w:p>
        </w:tc>
        <w:tc>
          <w:tcPr>
            <w:tcW w:w="7020" w:type="dxa"/>
          </w:tcPr>
          <w:p w14:paraId="75267905" w14:textId="59FBC181" w:rsidR="000D0A5B" w:rsidRPr="00160271" w:rsidRDefault="000D0A5B" w:rsidP="00077A03">
            <w:pPr>
              <w:rPr>
                <w:rFonts w:cstheme="minorHAnsi"/>
                <w:b/>
                <w:bCs/>
                <w:sz w:val="20"/>
                <w:szCs w:val="20"/>
              </w:rPr>
            </w:pPr>
            <w:r w:rsidRPr="00160271">
              <w:rPr>
                <w:rFonts w:cstheme="minorHAnsi"/>
                <w:b/>
                <w:bCs/>
                <w:sz w:val="20"/>
                <w:szCs w:val="20"/>
              </w:rPr>
              <w:t>Answer</w:t>
            </w:r>
          </w:p>
        </w:tc>
      </w:tr>
      <w:tr w:rsidR="000D0A5B" w:rsidRPr="00160271" w14:paraId="6315986C" w14:textId="77777777" w:rsidTr="40485134">
        <w:tc>
          <w:tcPr>
            <w:tcW w:w="355" w:type="dxa"/>
          </w:tcPr>
          <w:p w14:paraId="49AF6B92" w14:textId="403011EE" w:rsidR="000D0A5B" w:rsidRPr="00160271" w:rsidRDefault="000D0A5B" w:rsidP="00077A03">
            <w:pPr>
              <w:rPr>
                <w:rFonts w:cstheme="minorHAnsi"/>
                <w:sz w:val="20"/>
                <w:szCs w:val="20"/>
              </w:rPr>
            </w:pPr>
            <w:r w:rsidRPr="00160271">
              <w:rPr>
                <w:rFonts w:cstheme="minorHAnsi"/>
                <w:sz w:val="20"/>
                <w:szCs w:val="20"/>
              </w:rPr>
              <w:t>1</w:t>
            </w:r>
          </w:p>
        </w:tc>
        <w:tc>
          <w:tcPr>
            <w:tcW w:w="1980" w:type="dxa"/>
          </w:tcPr>
          <w:p w14:paraId="69BE953B" w14:textId="4AC7BF32" w:rsidR="000D0A5B" w:rsidRPr="00160271" w:rsidRDefault="000D0A5B" w:rsidP="00077A03">
            <w:pPr>
              <w:rPr>
                <w:rFonts w:cstheme="minorHAnsi"/>
                <w:sz w:val="20"/>
                <w:szCs w:val="20"/>
              </w:rPr>
            </w:pPr>
            <w:r w:rsidRPr="00160271">
              <w:rPr>
                <w:rFonts w:cstheme="minorHAnsi"/>
                <w:sz w:val="20"/>
                <w:szCs w:val="20"/>
              </w:rPr>
              <w:t xml:space="preserve">What is ARPA? What </w:t>
            </w:r>
            <w:proofErr w:type="gramStart"/>
            <w:r>
              <w:rPr>
                <w:rFonts w:cstheme="minorHAnsi"/>
                <w:sz w:val="20"/>
                <w:szCs w:val="20"/>
              </w:rPr>
              <w:t>are</w:t>
            </w:r>
            <w:proofErr w:type="gramEnd"/>
            <w:r w:rsidRPr="00160271">
              <w:rPr>
                <w:rFonts w:cstheme="minorHAnsi"/>
                <w:sz w:val="20"/>
                <w:szCs w:val="20"/>
              </w:rPr>
              <w:t xml:space="preserve"> the Coronavirus Local Fiscal Recovery Funds?  </w:t>
            </w:r>
          </w:p>
        </w:tc>
        <w:tc>
          <w:tcPr>
            <w:tcW w:w="7020" w:type="dxa"/>
          </w:tcPr>
          <w:p w14:paraId="384C88DC" w14:textId="4707D648" w:rsidR="000D0A5B" w:rsidRPr="00160271" w:rsidRDefault="000D0A5B" w:rsidP="0F21031A">
            <w:pPr>
              <w:rPr>
                <w:rFonts w:ascii="Calibri" w:eastAsia="Calibri" w:hAnsi="Calibri" w:cs="Calibri"/>
                <w:color w:val="000000" w:themeColor="text1"/>
                <w:sz w:val="19"/>
                <w:szCs w:val="19"/>
              </w:rPr>
            </w:pPr>
            <w:r w:rsidRPr="0F21031A">
              <w:rPr>
                <w:sz w:val="20"/>
                <w:szCs w:val="20"/>
              </w:rPr>
              <w:t xml:space="preserve">The American Rescue Plan Act (“ARPA”) was signed in to law by President Biden on March 11, 2021 to support coronavirus pandemic recovery.  Among its many provisions, ARPA establishes the Coronavirus Local Fiscal Recovery Funds (“LFRFs”), which provide emergency funding for local governments to support their response to the impacts of the pandemic. </w:t>
            </w:r>
            <w:r w:rsidR="5EB1E687" w:rsidRPr="0F21031A">
              <w:rPr>
                <w:rFonts w:ascii="Calibri" w:eastAsia="Calibri" w:hAnsi="Calibri" w:cs="Calibri"/>
                <w:color w:val="000000" w:themeColor="text1"/>
                <w:sz w:val="20"/>
                <w:szCs w:val="20"/>
              </w:rPr>
              <w:t xml:space="preserve">ARPA authorizes the U.S. Department of the Treasury (“Treasury”) to administer the LFRFs.  </w:t>
            </w:r>
          </w:p>
          <w:p w14:paraId="7248970C" w14:textId="77777777" w:rsidR="000D0A5B" w:rsidRPr="00160271" w:rsidRDefault="000D0A5B" w:rsidP="00F81AB5">
            <w:pPr>
              <w:rPr>
                <w:rFonts w:cstheme="minorHAnsi"/>
                <w:sz w:val="20"/>
                <w:szCs w:val="20"/>
              </w:rPr>
            </w:pPr>
          </w:p>
          <w:p w14:paraId="36FEF882" w14:textId="6B2B2C1F" w:rsidR="000D0A5B" w:rsidRPr="00160271" w:rsidRDefault="000D0A5B" w:rsidP="00F81AB5">
            <w:pPr>
              <w:rPr>
                <w:rFonts w:cstheme="minorHAnsi"/>
                <w:sz w:val="20"/>
                <w:szCs w:val="20"/>
              </w:rPr>
            </w:pPr>
            <w:r w:rsidRPr="00160271">
              <w:rPr>
                <w:rFonts w:cstheme="minorHAnsi"/>
                <w:sz w:val="20"/>
                <w:szCs w:val="20"/>
              </w:rPr>
              <w:t xml:space="preserve">ARPA provides $112.2 million specifically for New Hampshire local governments. </w:t>
            </w:r>
          </w:p>
          <w:p w14:paraId="35281D30" w14:textId="77777777" w:rsidR="000D0A5B" w:rsidRPr="00160271" w:rsidRDefault="000D0A5B" w:rsidP="00F81AB5">
            <w:pPr>
              <w:rPr>
                <w:rFonts w:cstheme="minorHAnsi"/>
                <w:sz w:val="20"/>
                <w:szCs w:val="20"/>
              </w:rPr>
            </w:pPr>
          </w:p>
          <w:p w14:paraId="4F6FE66D" w14:textId="40E2619C" w:rsidR="000D0A5B" w:rsidRPr="00160271" w:rsidRDefault="000D0A5B" w:rsidP="00F81AB5">
            <w:pPr>
              <w:rPr>
                <w:rFonts w:cstheme="minorHAnsi"/>
                <w:sz w:val="20"/>
                <w:szCs w:val="20"/>
              </w:rPr>
            </w:pPr>
            <w:r w:rsidRPr="00160271">
              <w:rPr>
                <w:rFonts w:cstheme="minorHAnsi"/>
                <w:sz w:val="20"/>
                <w:szCs w:val="20"/>
              </w:rPr>
              <w:t xml:space="preserve">ARPA refers to local governments as “non-entitlement units of local government” (“NEUs”).  </w:t>
            </w:r>
          </w:p>
        </w:tc>
      </w:tr>
      <w:tr w:rsidR="000D0A5B" w:rsidRPr="00160271" w14:paraId="187B9B56" w14:textId="77777777" w:rsidTr="40485134">
        <w:tc>
          <w:tcPr>
            <w:tcW w:w="355" w:type="dxa"/>
          </w:tcPr>
          <w:p w14:paraId="4E854D83" w14:textId="0F2CBF64" w:rsidR="000D0A5B" w:rsidRPr="00160271" w:rsidRDefault="000D0A5B" w:rsidP="00077A03">
            <w:pPr>
              <w:rPr>
                <w:rFonts w:cstheme="minorHAnsi"/>
                <w:sz w:val="20"/>
                <w:szCs w:val="20"/>
              </w:rPr>
            </w:pPr>
            <w:r w:rsidRPr="00160271">
              <w:rPr>
                <w:rFonts w:cstheme="minorHAnsi"/>
                <w:sz w:val="20"/>
                <w:szCs w:val="20"/>
              </w:rPr>
              <w:t>2</w:t>
            </w:r>
          </w:p>
        </w:tc>
        <w:tc>
          <w:tcPr>
            <w:tcW w:w="1980" w:type="dxa"/>
          </w:tcPr>
          <w:p w14:paraId="6AFB721B" w14:textId="449997D1" w:rsidR="000D0A5B" w:rsidRPr="00160271" w:rsidRDefault="000D0A5B" w:rsidP="00077A03">
            <w:pPr>
              <w:rPr>
                <w:rFonts w:cstheme="minorHAnsi"/>
                <w:sz w:val="20"/>
                <w:szCs w:val="20"/>
              </w:rPr>
            </w:pPr>
            <w:r w:rsidRPr="00160271">
              <w:rPr>
                <w:rFonts w:cstheme="minorHAnsi"/>
                <w:sz w:val="20"/>
                <w:szCs w:val="20"/>
              </w:rPr>
              <w:t xml:space="preserve">What is an NEU? </w:t>
            </w:r>
          </w:p>
        </w:tc>
        <w:tc>
          <w:tcPr>
            <w:tcW w:w="7020" w:type="dxa"/>
          </w:tcPr>
          <w:p w14:paraId="4CA1ACB2" w14:textId="77777777" w:rsidR="000D0A5B" w:rsidRPr="00160271" w:rsidRDefault="000D0A5B" w:rsidP="00226550">
            <w:pPr>
              <w:rPr>
                <w:rFonts w:cstheme="minorHAnsi"/>
                <w:sz w:val="20"/>
                <w:szCs w:val="20"/>
              </w:rPr>
            </w:pPr>
            <w:r w:rsidRPr="00160271">
              <w:rPr>
                <w:rFonts w:cstheme="minorHAnsi"/>
                <w:sz w:val="20"/>
                <w:szCs w:val="20"/>
              </w:rPr>
              <w:t>Non-entitlement units of local government (NEUs) are defined in ARPA as local governments typically serving populations of less than 50,000. NEUs include cities, villages, towns, townships, or other types of local governments. </w:t>
            </w:r>
          </w:p>
          <w:p w14:paraId="2F23F95E" w14:textId="77777777" w:rsidR="000D0A5B" w:rsidRPr="00160271" w:rsidRDefault="000D0A5B" w:rsidP="00226550">
            <w:pPr>
              <w:rPr>
                <w:rFonts w:cstheme="minorHAnsi"/>
                <w:sz w:val="20"/>
                <w:szCs w:val="20"/>
              </w:rPr>
            </w:pPr>
          </w:p>
          <w:p w14:paraId="4B5555A4" w14:textId="441A8EFB" w:rsidR="000D0A5B" w:rsidRPr="00160271" w:rsidRDefault="000D0A5B" w:rsidP="00226550">
            <w:pPr>
              <w:rPr>
                <w:rFonts w:cstheme="minorHAnsi"/>
                <w:sz w:val="20"/>
                <w:szCs w:val="20"/>
              </w:rPr>
            </w:pPr>
            <w:r w:rsidRPr="00160271">
              <w:rPr>
                <w:rFonts w:cstheme="minorHAnsi"/>
                <w:sz w:val="20"/>
                <w:szCs w:val="20"/>
              </w:rPr>
              <w:t xml:space="preserve">Treasury identifies </w:t>
            </w:r>
            <w:hyperlink r:id="rId11" w:history="1">
              <w:r w:rsidRPr="00160271">
                <w:rPr>
                  <w:rStyle w:val="Hyperlink"/>
                  <w:rFonts w:cstheme="minorHAnsi"/>
                  <w:sz w:val="20"/>
                  <w:szCs w:val="20"/>
                </w:rPr>
                <w:t>229 NEUs in New Hampshire</w:t>
              </w:r>
            </w:hyperlink>
            <w:r w:rsidRPr="00160271">
              <w:rPr>
                <w:rFonts w:cstheme="minorHAnsi"/>
                <w:sz w:val="20"/>
                <w:szCs w:val="20"/>
              </w:rPr>
              <w:t xml:space="preserve">.  </w:t>
            </w:r>
          </w:p>
        </w:tc>
      </w:tr>
      <w:tr w:rsidR="000D0A5B" w:rsidRPr="00160271" w14:paraId="391D05A0" w14:textId="77777777" w:rsidTr="40485134">
        <w:tc>
          <w:tcPr>
            <w:tcW w:w="355" w:type="dxa"/>
          </w:tcPr>
          <w:p w14:paraId="6A954046" w14:textId="6662CF43" w:rsidR="000D0A5B" w:rsidRPr="00160271" w:rsidRDefault="000D0A5B" w:rsidP="00677586">
            <w:pPr>
              <w:rPr>
                <w:rFonts w:cstheme="minorHAnsi"/>
                <w:sz w:val="20"/>
                <w:szCs w:val="20"/>
              </w:rPr>
            </w:pPr>
            <w:r>
              <w:rPr>
                <w:rFonts w:cstheme="minorHAnsi"/>
                <w:sz w:val="20"/>
                <w:szCs w:val="20"/>
              </w:rPr>
              <w:t>3</w:t>
            </w:r>
          </w:p>
        </w:tc>
        <w:tc>
          <w:tcPr>
            <w:tcW w:w="1980" w:type="dxa"/>
          </w:tcPr>
          <w:p w14:paraId="7ACFA248" w14:textId="3A09A00B" w:rsidR="000D0A5B" w:rsidRPr="00160271" w:rsidRDefault="000D0A5B" w:rsidP="00677586">
            <w:pPr>
              <w:rPr>
                <w:rFonts w:cstheme="minorHAnsi"/>
                <w:sz w:val="20"/>
                <w:szCs w:val="20"/>
              </w:rPr>
            </w:pPr>
            <w:r w:rsidRPr="00160271">
              <w:rPr>
                <w:rFonts w:cstheme="minorHAnsi"/>
                <w:sz w:val="20"/>
                <w:szCs w:val="20"/>
              </w:rPr>
              <w:t xml:space="preserve">What are the big picture objectives of the LFRF? </w:t>
            </w:r>
          </w:p>
        </w:tc>
        <w:tc>
          <w:tcPr>
            <w:tcW w:w="7020" w:type="dxa"/>
          </w:tcPr>
          <w:p w14:paraId="4DF7F48F" w14:textId="68964780" w:rsidR="000D0A5B" w:rsidRPr="00160271" w:rsidRDefault="000D0A5B" w:rsidP="00677586">
            <w:pPr>
              <w:rPr>
                <w:rFonts w:cstheme="minorHAnsi"/>
                <w:sz w:val="20"/>
                <w:szCs w:val="20"/>
              </w:rPr>
            </w:pPr>
            <w:r w:rsidRPr="00160271">
              <w:rPr>
                <w:rFonts w:cstheme="minorHAnsi"/>
                <w:sz w:val="20"/>
                <w:szCs w:val="20"/>
              </w:rPr>
              <w:t>Broadly, ARPA established the LFRF</w:t>
            </w:r>
            <w:r w:rsidR="006669B7">
              <w:rPr>
                <w:rFonts w:cstheme="minorHAnsi"/>
                <w:sz w:val="20"/>
                <w:szCs w:val="20"/>
              </w:rPr>
              <w:t>s</w:t>
            </w:r>
            <w:r w:rsidRPr="00160271">
              <w:rPr>
                <w:rFonts w:cstheme="minorHAnsi"/>
                <w:sz w:val="20"/>
                <w:szCs w:val="20"/>
              </w:rPr>
              <w:t xml:space="preserve"> for local governments to accomplish four key objectives: </w:t>
            </w:r>
          </w:p>
          <w:p w14:paraId="31B47F9A" w14:textId="77777777" w:rsidR="000D0A5B" w:rsidRPr="00160271" w:rsidRDefault="000D0A5B" w:rsidP="00677586">
            <w:pPr>
              <w:pStyle w:val="ListParagraph"/>
              <w:numPr>
                <w:ilvl w:val="0"/>
                <w:numId w:val="3"/>
              </w:numPr>
              <w:rPr>
                <w:rFonts w:cstheme="minorHAnsi"/>
                <w:sz w:val="20"/>
                <w:szCs w:val="20"/>
              </w:rPr>
            </w:pPr>
            <w:r w:rsidRPr="00160271">
              <w:rPr>
                <w:rFonts w:cstheme="minorHAnsi"/>
                <w:sz w:val="20"/>
                <w:szCs w:val="20"/>
              </w:rPr>
              <w:t>Support urgent pandemic response efforts</w:t>
            </w:r>
          </w:p>
          <w:p w14:paraId="7991979C" w14:textId="77777777" w:rsidR="000D0A5B" w:rsidRPr="00160271" w:rsidRDefault="000D0A5B" w:rsidP="00677586">
            <w:pPr>
              <w:pStyle w:val="ListParagraph"/>
              <w:numPr>
                <w:ilvl w:val="0"/>
                <w:numId w:val="3"/>
              </w:numPr>
              <w:rPr>
                <w:rFonts w:cstheme="minorHAnsi"/>
                <w:sz w:val="20"/>
                <w:szCs w:val="20"/>
              </w:rPr>
            </w:pPr>
            <w:r w:rsidRPr="00160271">
              <w:rPr>
                <w:rFonts w:cstheme="minorHAnsi"/>
                <w:sz w:val="20"/>
                <w:szCs w:val="20"/>
              </w:rPr>
              <w:t xml:space="preserve">Replace lost state and local government revenue </w:t>
            </w:r>
          </w:p>
          <w:p w14:paraId="1A09E422" w14:textId="77777777" w:rsidR="000D0A5B" w:rsidRPr="00160271" w:rsidRDefault="000D0A5B" w:rsidP="00677586">
            <w:pPr>
              <w:pStyle w:val="ListParagraph"/>
              <w:numPr>
                <w:ilvl w:val="0"/>
                <w:numId w:val="3"/>
              </w:numPr>
              <w:rPr>
                <w:rFonts w:cstheme="minorHAnsi"/>
                <w:sz w:val="20"/>
                <w:szCs w:val="20"/>
              </w:rPr>
            </w:pPr>
            <w:r w:rsidRPr="00160271">
              <w:rPr>
                <w:rFonts w:cstheme="minorHAnsi"/>
                <w:sz w:val="20"/>
                <w:szCs w:val="20"/>
              </w:rPr>
              <w:t>Support economic stabilization</w:t>
            </w:r>
          </w:p>
          <w:p w14:paraId="0A9190BB" w14:textId="3C682EDA" w:rsidR="000D0A5B" w:rsidRPr="00160271" w:rsidRDefault="000D0A5B" w:rsidP="40485134">
            <w:pPr>
              <w:pStyle w:val="ListParagraph"/>
              <w:numPr>
                <w:ilvl w:val="0"/>
                <w:numId w:val="3"/>
              </w:numPr>
              <w:rPr>
                <w:sz w:val="20"/>
                <w:szCs w:val="20"/>
              </w:rPr>
            </w:pPr>
            <w:r w:rsidRPr="40485134">
              <w:rPr>
                <w:sz w:val="20"/>
                <w:szCs w:val="20"/>
              </w:rPr>
              <w:t xml:space="preserve">Address public health and economic inequities that exacerbated the impacts of the pandemic for </w:t>
            </w:r>
            <w:r w:rsidR="4DC40FEC" w:rsidRPr="40485134">
              <w:rPr>
                <w:sz w:val="20"/>
                <w:szCs w:val="20"/>
              </w:rPr>
              <w:t>some.</w:t>
            </w:r>
          </w:p>
        </w:tc>
      </w:tr>
      <w:tr w:rsidR="000D0A5B" w:rsidRPr="00160271" w14:paraId="347EBA07" w14:textId="77777777" w:rsidTr="40485134">
        <w:tc>
          <w:tcPr>
            <w:tcW w:w="355" w:type="dxa"/>
          </w:tcPr>
          <w:p w14:paraId="5902F3F4" w14:textId="21281FED" w:rsidR="000D0A5B" w:rsidRPr="00160271" w:rsidRDefault="000D0A5B" w:rsidP="00677586">
            <w:pPr>
              <w:rPr>
                <w:rFonts w:cstheme="minorHAnsi"/>
                <w:sz w:val="20"/>
                <w:szCs w:val="20"/>
              </w:rPr>
            </w:pPr>
            <w:r>
              <w:rPr>
                <w:rFonts w:cstheme="minorHAnsi"/>
                <w:sz w:val="20"/>
                <w:szCs w:val="20"/>
              </w:rPr>
              <w:t>4</w:t>
            </w:r>
          </w:p>
        </w:tc>
        <w:tc>
          <w:tcPr>
            <w:tcW w:w="1980" w:type="dxa"/>
          </w:tcPr>
          <w:p w14:paraId="6155BCF1" w14:textId="17E6FFF8" w:rsidR="000D0A5B" w:rsidRPr="00160271" w:rsidRDefault="000D0A5B" w:rsidP="00677586">
            <w:pPr>
              <w:rPr>
                <w:rFonts w:cstheme="minorHAnsi"/>
                <w:sz w:val="20"/>
                <w:szCs w:val="20"/>
              </w:rPr>
            </w:pPr>
            <w:r w:rsidRPr="00160271">
              <w:rPr>
                <w:rFonts w:cstheme="minorHAnsi"/>
                <w:sz w:val="20"/>
                <w:szCs w:val="20"/>
              </w:rPr>
              <w:t xml:space="preserve">Where will the LFRF funds come from, and when will funds be distributed to NEUs? </w:t>
            </w:r>
          </w:p>
        </w:tc>
        <w:tc>
          <w:tcPr>
            <w:tcW w:w="7020" w:type="dxa"/>
          </w:tcPr>
          <w:p w14:paraId="43339D5F" w14:textId="3FF79C88" w:rsidR="000D0A5B" w:rsidRPr="00160271" w:rsidRDefault="000D0A5B" w:rsidP="0F21031A">
            <w:pPr>
              <w:rPr>
                <w:sz w:val="20"/>
                <w:szCs w:val="20"/>
              </w:rPr>
            </w:pPr>
            <w:r w:rsidRPr="0F21031A">
              <w:rPr>
                <w:sz w:val="20"/>
                <w:szCs w:val="20"/>
              </w:rPr>
              <w:t>T</w:t>
            </w:r>
            <w:r w:rsidR="2535418A" w:rsidRPr="0F21031A">
              <w:rPr>
                <w:sz w:val="20"/>
                <w:szCs w:val="20"/>
              </w:rPr>
              <w:t xml:space="preserve">reasury </w:t>
            </w:r>
            <w:r w:rsidRPr="0F21031A">
              <w:rPr>
                <w:sz w:val="20"/>
                <w:szCs w:val="20"/>
              </w:rPr>
              <w:t xml:space="preserve">will distribute funds to the states, who will then distribute them to their NEUs. Treasury expects to make payments to states for distribution to NEUs in two equal tranches approximately twelve months apart. Following receipt of funding from Treasury, ARPA requires each state to distribute funds to its NEUs within 30 days unless granted an extension by Treasury. </w:t>
            </w:r>
          </w:p>
          <w:p w14:paraId="7ABE7033" w14:textId="77777777" w:rsidR="000D0A5B" w:rsidRPr="00160271" w:rsidRDefault="000D0A5B" w:rsidP="00677586">
            <w:pPr>
              <w:rPr>
                <w:rFonts w:cstheme="minorHAnsi"/>
                <w:sz w:val="20"/>
                <w:szCs w:val="20"/>
              </w:rPr>
            </w:pPr>
          </w:p>
          <w:p w14:paraId="313E5992" w14:textId="332FF51A" w:rsidR="000D0A5B" w:rsidRPr="00160271" w:rsidRDefault="000D0A5B" w:rsidP="00677586">
            <w:pPr>
              <w:rPr>
                <w:rFonts w:cstheme="minorHAnsi"/>
                <w:sz w:val="20"/>
                <w:szCs w:val="20"/>
              </w:rPr>
            </w:pPr>
            <w:r w:rsidRPr="00160271">
              <w:rPr>
                <w:rFonts w:cstheme="minorHAnsi"/>
                <w:sz w:val="20"/>
                <w:szCs w:val="20"/>
              </w:rPr>
              <w:t xml:space="preserve">The invoice date of the first NEU tranche to New Hampshire was May 28, 2021. </w:t>
            </w:r>
            <w:r>
              <w:rPr>
                <w:rFonts w:cstheme="minorHAnsi"/>
                <w:sz w:val="20"/>
                <w:szCs w:val="20"/>
              </w:rPr>
              <w:t>New Hampshire shows receipt of the funds on June 1, 2021.</w:t>
            </w:r>
          </w:p>
        </w:tc>
      </w:tr>
    </w:tbl>
    <w:p w14:paraId="43F08893" w14:textId="77777777" w:rsidR="00CF0011" w:rsidRPr="00160271" w:rsidRDefault="00CF0011" w:rsidP="00077A03">
      <w:pPr>
        <w:spacing w:after="0"/>
        <w:rPr>
          <w:rFonts w:cstheme="minorHAnsi"/>
          <w:sz w:val="20"/>
          <w:szCs w:val="20"/>
        </w:rPr>
      </w:pPr>
    </w:p>
    <w:p w14:paraId="0507A3C8" w14:textId="3F1410C3" w:rsidR="00226550" w:rsidRPr="00160271" w:rsidRDefault="00226550" w:rsidP="00077A03">
      <w:pPr>
        <w:spacing w:after="0"/>
        <w:rPr>
          <w:rFonts w:cstheme="minorHAnsi"/>
          <w:b/>
          <w:bCs/>
          <w:sz w:val="20"/>
          <w:szCs w:val="20"/>
        </w:rPr>
      </w:pPr>
      <w:r w:rsidRPr="00160271">
        <w:rPr>
          <w:rFonts w:cstheme="minorHAnsi"/>
          <w:b/>
          <w:bCs/>
          <w:sz w:val="20"/>
          <w:szCs w:val="20"/>
        </w:rPr>
        <w:t xml:space="preserve">B. NEU Eligibility and Application Process </w:t>
      </w:r>
    </w:p>
    <w:tbl>
      <w:tblPr>
        <w:tblStyle w:val="TableGrid"/>
        <w:tblW w:w="9355" w:type="dxa"/>
        <w:tblLook w:val="04A0" w:firstRow="1" w:lastRow="0" w:firstColumn="1" w:lastColumn="0" w:noHBand="0" w:noVBand="1"/>
      </w:tblPr>
      <w:tblGrid>
        <w:gridCol w:w="419"/>
        <w:gridCol w:w="1968"/>
        <w:gridCol w:w="6968"/>
      </w:tblGrid>
      <w:tr w:rsidR="000D0A5B" w:rsidRPr="00160271" w14:paraId="7592709C" w14:textId="77777777" w:rsidTr="40485134">
        <w:tc>
          <w:tcPr>
            <w:tcW w:w="419" w:type="dxa"/>
          </w:tcPr>
          <w:p w14:paraId="3576FE57" w14:textId="19B98F6D" w:rsidR="000D0A5B" w:rsidRPr="00160271" w:rsidRDefault="000D0A5B" w:rsidP="00226550">
            <w:pPr>
              <w:rPr>
                <w:rFonts w:cstheme="minorHAnsi"/>
                <w:sz w:val="20"/>
                <w:szCs w:val="20"/>
              </w:rPr>
            </w:pPr>
            <w:r w:rsidRPr="00160271">
              <w:rPr>
                <w:rFonts w:cstheme="minorHAnsi"/>
                <w:b/>
                <w:bCs/>
                <w:sz w:val="20"/>
                <w:szCs w:val="20"/>
              </w:rPr>
              <w:t>#</w:t>
            </w:r>
          </w:p>
        </w:tc>
        <w:tc>
          <w:tcPr>
            <w:tcW w:w="1968" w:type="dxa"/>
          </w:tcPr>
          <w:p w14:paraId="31080E06" w14:textId="7EC001FD" w:rsidR="000D0A5B" w:rsidRPr="00160271" w:rsidRDefault="000D0A5B" w:rsidP="00226550">
            <w:pPr>
              <w:rPr>
                <w:rFonts w:cstheme="minorHAnsi"/>
                <w:sz w:val="20"/>
                <w:szCs w:val="20"/>
              </w:rPr>
            </w:pPr>
            <w:r w:rsidRPr="00160271">
              <w:rPr>
                <w:rFonts w:cstheme="minorHAnsi"/>
                <w:b/>
                <w:bCs/>
                <w:sz w:val="20"/>
                <w:szCs w:val="20"/>
              </w:rPr>
              <w:t>Question</w:t>
            </w:r>
          </w:p>
        </w:tc>
        <w:tc>
          <w:tcPr>
            <w:tcW w:w="6968" w:type="dxa"/>
          </w:tcPr>
          <w:p w14:paraId="1D0EBB6C" w14:textId="27194C5C" w:rsidR="000D0A5B" w:rsidRPr="00160271" w:rsidRDefault="000D0A5B" w:rsidP="00226550">
            <w:pPr>
              <w:rPr>
                <w:rFonts w:cstheme="minorHAnsi"/>
                <w:sz w:val="20"/>
                <w:szCs w:val="20"/>
              </w:rPr>
            </w:pPr>
            <w:r w:rsidRPr="00160271">
              <w:rPr>
                <w:rFonts w:cstheme="minorHAnsi"/>
                <w:b/>
                <w:bCs/>
                <w:sz w:val="20"/>
                <w:szCs w:val="20"/>
              </w:rPr>
              <w:t>Answer</w:t>
            </w:r>
          </w:p>
        </w:tc>
      </w:tr>
      <w:tr w:rsidR="000D0A5B" w:rsidRPr="00160271" w14:paraId="739EF623" w14:textId="77777777" w:rsidTr="40485134">
        <w:tc>
          <w:tcPr>
            <w:tcW w:w="419" w:type="dxa"/>
          </w:tcPr>
          <w:p w14:paraId="5DADBA03" w14:textId="10072C7B" w:rsidR="000D0A5B" w:rsidRPr="00160271" w:rsidRDefault="000D0A5B" w:rsidP="00754923">
            <w:pPr>
              <w:rPr>
                <w:rFonts w:cstheme="minorHAnsi"/>
                <w:sz w:val="20"/>
                <w:szCs w:val="20"/>
              </w:rPr>
            </w:pPr>
            <w:r w:rsidRPr="00160271">
              <w:rPr>
                <w:rFonts w:cstheme="minorHAnsi"/>
                <w:sz w:val="20"/>
                <w:szCs w:val="20"/>
              </w:rPr>
              <w:t>1</w:t>
            </w:r>
          </w:p>
        </w:tc>
        <w:tc>
          <w:tcPr>
            <w:tcW w:w="1968" w:type="dxa"/>
          </w:tcPr>
          <w:p w14:paraId="6CC5E4C5" w14:textId="13F687EA" w:rsidR="000D0A5B" w:rsidRPr="00160271" w:rsidRDefault="000D0A5B" w:rsidP="00754923">
            <w:pPr>
              <w:rPr>
                <w:rFonts w:cstheme="minorHAnsi"/>
                <w:sz w:val="20"/>
                <w:szCs w:val="20"/>
              </w:rPr>
            </w:pPr>
            <w:r w:rsidRPr="00160271">
              <w:rPr>
                <w:rFonts w:cstheme="minorHAnsi"/>
                <w:sz w:val="20"/>
                <w:szCs w:val="20"/>
              </w:rPr>
              <w:t>What determines an NEU’s funding allocation through the LFRF?</w:t>
            </w:r>
          </w:p>
        </w:tc>
        <w:tc>
          <w:tcPr>
            <w:tcW w:w="6968" w:type="dxa"/>
          </w:tcPr>
          <w:p w14:paraId="1938F5AC" w14:textId="77777777" w:rsidR="000D0A5B" w:rsidRPr="00160271" w:rsidRDefault="000D0A5B" w:rsidP="00754923">
            <w:pPr>
              <w:rPr>
                <w:rFonts w:cstheme="minorHAnsi"/>
                <w:sz w:val="20"/>
                <w:szCs w:val="20"/>
              </w:rPr>
            </w:pPr>
            <w:r w:rsidRPr="00160271">
              <w:rPr>
                <w:rFonts w:cstheme="minorHAnsi"/>
                <w:sz w:val="20"/>
                <w:szCs w:val="20"/>
              </w:rPr>
              <w:t xml:space="preserve">Funding allocations to NEUs are based on their population. </w:t>
            </w:r>
          </w:p>
          <w:p w14:paraId="3935829B" w14:textId="77777777" w:rsidR="000D0A5B" w:rsidRPr="00160271" w:rsidRDefault="000D0A5B" w:rsidP="00754923">
            <w:pPr>
              <w:rPr>
                <w:rFonts w:cstheme="minorHAnsi"/>
                <w:sz w:val="20"/>
                <w:szCs w:val="20"/>
              </w:rPr>
            </w:pPr>
          </w:p>
          <w:p w14:paraId="7EE6580B" w14:textId="7E4229FF" w:rsidR="000D0A5B" w:rsidRPr="00160271" w:rsidRDefault="000D0A5B" w:rsidP="00754923">
            <w:pPr>
              <w:rPr>
                <w:rFonts w:cstheme="minorHAnsi"/>
                <w:sz w:val="20"/>
                <w:szCs w:val="20"/>
              </w:rPr>
            </w:pPr>
            <w:r w:rsidRPr="00160271">
              <w:rPr>
                <w:rFonts w:cstheme="minorHAnsi"/>
                <w:sz w:val="20"/>
                <w:szCs w:val="20"/>
              </w:rPr>
              <w:t xml:space="preserve">Additionally, the total amount to be distributed to an NEU may not exceed the amount equal to 75 percent of its most recent budget as of January 27, 2020. </w:t>
            </w:r>
          </w:p>
        </w:tc>
      </w:tr>
      <w:tr w:rsidR="000D0A5B" w:rsidRPr="00160271" w14:paraId="1DC362DE" w14:textId="77777777" w:rsidTr="40485134">
        <w:tc>
          <w:tcPr>
            <w:tcW w:w="419" w:type="dxa"/>
          </w:tcPr>
          <w:p w14:paraId="6A169468" w14:textId="17565979" w:rsidR="000D0A5B" w:rsidRPr="00160271" w:rsidRDefault="000D0A5B" w:rsidP="001C737C">
            <w:pPr>
              <w:rPr>
                <w:rFonts w:cstheme="minorHAnsi"/>
                <w:sz w:val="20"/>
                <w:szCs w:val="20"/>
              </w:rPr>
            </w:pPr>
            <w:r w:rsidRPr="00160271">
              <w:rPr>
                <w:rFonts w:cstheme="minorHAnsi"/>
                <w:sz w:val="20"/>
                <w:szCs w:val="20"/>
              </w:rPr>
              <w:t>2</w:t>
            </w:r>
          </w:p>
        </w:tc>
        <w:tc>
          <w:tcPr>
            <w:tcW w:w="1968" w:type="dxa"/>
          </w:tcPr>
          <w:p w14:paraId="7F484467" w14:textId="391C423F" w:rsidR="000D0A5B" w:rsidRPr="00160271" w:rsidRDefault="000D0A5B" w:rsidP="001C737C">
            <w:pPr>
              <w:rPr>
                <w:rFonts w:cstheme="minorHAnsi"/>
                <w:sz w:val="20"/>
                <w:szCs w:val="20"/>
              </w:rPr>
            </w:pPr>
            <w:r w:rsidRPr="00160271">
              <w:rPr>
                <w:rFonts w:cstheme="minorHAnsi"/>
                <w:sz w:val="20"/>
                <w:szCs w:val="20"/>
              </w:rPr>
              <w:t xml:space="preserve">Does an NEU need to do anything in order to receive funds? </w:t>
            </w:r>
          </w:p>
        </w:tc>
        <w:tc>
          <w:tcPr>
            <w:tcW w:w="6968" w:type="dxa"/>
          </w:tcPr>
          <w:p w14:paraId="136FC3EE" w14:textId="74CA565D" w:rsidR="000D0A5B" w:rsidRDefault="000D0A5B" w:rsidP="40485134">
            <w:pPr>
              <w:rPr>
                <w:sz w:val="20"/>
                <w:szCs w:val="20"/>
              </w:rPr>
            </w:pPr>
            <w:r w:rsidRPr="40485134">
              <w:rPr>
                <w:sz w:val="20"/>
                <w:szCs w:val="20"/>
              </w:rPr>
              <w:t xml:space="preserve">Yes. An NEU must </w:t>
            </w:r>
            <w:proofErr w:type="gramStart"/>
            <w:r w:rsidRPr="40485134">
              <w:rPr>
                <w:sz w:val="20"/>
                <w:szCs w:val="20"/>
              </w:rPr>
              <w:t>take action</w:t>
            </w:r>
            <w:proofErr w:type="gramEnd"/>
            <w:r w:rsidRPr="40485134">
              <w:rPr>
                <w:sz w:val="20"/>
                <w:szCs w:val="20"/>
              </w:rPr>
              <w:t xml:space="preserve"> in order to receive funds.  New Hampshire’s application portal is on the </w:t>
            </w:r>
            <w:hyperlink r:id="rId12">
              <w:r w:rsidRPr="40485134">
                <w:rPr>
                  <w:rStyle w:val="Hyperlink"/>
                  <w:sz w:val="20"/>
                  <w:szCs w:val="20"/>
                </w:rPr>
                <w:t>GOFERR website</w:t>
              </w:r>
            </w:hyperlink>
            <w:r w:rsidRPr="40485134">
              <w:rPr>
                <w:sz w:val="20"/>
                <w:szCs w:val="20"/>
              </w:rPr>
              <w:t xml:space="preserve"> (</w:t>
            </w:r>
            <w:r w:rsidR="1CD3A876" w:rsidRPr="40485134">
              <w:rPr>
                <w:sz w:val="20"/>
                <w:szCs w:val="20"/>
              </w:rPr>
              <w:t>beginning</w:t>
            </w:r>
            <w:r w:rsidRPr="40485134">
              <w:rPr>
                <w:sz w:val="20"/>
                <w:szCs w:val="20"/>
              </w:rPr>
              <w:t xml:space="preserve"> June 17, 2021). </w:t>
            </w:r>
          </w:p>
          <w:p w14:paraId="5AA684C2" w14:textId="413FE2DD" w:rsidR="000D0A5B" w:rsidRDefault="000D0A5B" w:rsidP="001C737C">
            <w:pPr>
              <w:rPr>
                <w:rFonts w:cstheme="minorHAnsi"/>
                <w:sz w:val="20"/>
                <w:szCs w:val="20"/>
              </w:rPr>
            </w:pPr>
          </w:p>
          <w:p w14:paraId="3845F660" w14:textId="6E1830D4" w:rsidR="000D0A5B" w:rsidRPr="004D3E4F" w:rsidRDefault="000D0A5B" w:rsidP="004D3E4F">
            <w:pPr>
              <w:pStyle w:val="paragraph"/>
              <w:spacing w:before="0" w:beforeAutospacing="0" w:after="0" w:afterAutospacing="0"/>
              <w:textAlignment w:val="baseline"/>
              <w:rPr>
                <w:rFonts w:asciiTheme="minorHAnsi" w:eastAsiaTheme="minorHAnsi" w:hAnsiTheme="minorHAnsi" w:cstheme="minorHAnsi"/>
                <w:sz w:val="20"/>
                <w:szCs w:val="20"/>
              </w:rPr>
            </w:pPr>
            <w:r w:rsidRPr="004D3E4F">
              <w:rPr>
                <w:rFonts w:asciiTheme="minorHAnsi" w:eastAsiaTheme="minorHAnsi" w:hAnsiTheme="minorHAnsi" w:cstheme="minorHAnsi"/>
                <w:sz w:val="20"/>
                <w:szCs w:val="20"/>
              </w:rPr>
              <w:t xml:space="preserve">To </w:t>
            </w:r>
            <w:proofErr w:type="gramStart"/>
            <w:r w:rsidRPr="004D3E4F">
              <w:rPr>
                <w:rFonts w:asciiTheme="minorHAnsi" w:eastAsiaTheme="minorHAnsi" w:hAnsiTheme="minorHAnsi" w:cstheme="minorHAnsi"/>
                <w:sz w:val="20"/>
                <w:szCs w:val="20"/>
              </w:rPr>
              <w:t>submit an application</w:t>
            </w:r>
            <w:proofErr w:type="gramEnd"/>
            <w:r w:rsidRPr="004D3E4F">
              <w:rPr>
                <w:rFonts w:asciiTheme="minorHAnsi" w:eastAsiaTheme="minorHAnsi" w:hAnsiTheme="minorHAnsi" w:cstheme="minorHAnsi"/>
                <w:sz w:val="20"/>
                <w:szCs w:val="20"/>
              </w:rPr>
              <w:t>, an NEU must have available and/or provide:​</w:t>
            </w:r>
          </w:p>
          <w:p w14:paraId="6F098223" w14:textId="77777777" w:rsidR="000D0A5B" w:rsidRPr="004D3E4F" w:rsidRDefault="000D0A5B" w:rsidP="004D3E4F">
            <w:pPr>
              <w:pStyle w:val="paragraph"/>
              <w:numPr>
                <w:ilvl w:val="0"/>
                <w:numId w:val="11"/>
              </w:numPr>
              <w:spacing w:before="0" w:beforeAutospacing="0" w:after="0" w:afterAutospacing="0"/>
              <w:textAlignment w:val="baseline"/>
              <w:rPr>
                <w:rFonts w:asciiTheme="minorHAnsi" w:eastAsiaTheme="minorHAnsi" w:hAnsiTheme="minorHAnsi" w:cstheme="minorHAnsi"/>
                <w:sz w:val="20"/>
                <w:szCs w:val="20"/>
              </w:rPr>
            </w:pPr>
            <w:r w:rsidRPr="004D3E4F">
              <w:rPr>
                <w:rFonts w:asciiTheme="minorHAnsi" w:eastAsiaTheme="minorHAnsi" w:hAnsiTheme="minorHAnsi" w:cstheme="minorHAnsi"/>
                <w:sz w:val="20"/>
                <w:szCs w:val="20"/>
              </w:rPr>
              <w:lastRenderedPageBreak/>
              <w:t xml:space="preserve">Local government name, Taxpayer Identification Number, DUNS number, State Vendor Number, and </w:t>
            </w:r>
            <w:proofErr w:type="gramStart"/>
            <w:r w:rsidRPr="004D3E4F">
              <w:rPr>
                <w:rFonts w:asciiTheme="minorHAnsi" w:eastAsiaTheme="minorHAnsi" w:hAnsiTheme="minorHAnsi" w:cstheme="minorHAnsi"/>
                <w:sz w:val="20"/>
                <w:szCs w:val="20"/>
              </w:rPr>
              <w:t>address  ​</w:t>
            </w:r>
            <w:proofErr w:type="gramEnd"/>
          </w:p>
          <w:p w14:paraId="5AD25A92" w14:textId="77777777" w:rsidR="000D0A5B" w:rsidRPr="004D3E4F" w:rsidRDefault="000D0A5B" w:rsidP="004D3E4F">
            <w:pPr>
              <w:pStyle w:val="paragraph"/>
              <w:numPr>
                <w:ilvl w:val="0"/>
                <w:numId w:val="11"/>
              </w:numPr>
              <w:spacing w:before="0" w:beforeAutospacing="0" w:after="0" w:afterAutospacing="0"/>
              <w:textAlignment w:val="baseline"/>
              <w:rPr>
                <w:rFonts w:asciiTheme="minorHAnsi" w:eastAsiaTheme="minorHAnsi" w:hAnsiTheme="minorHAnsi" w:cstheme="minorHAnsi"/>
                <w:sz w:val="20"/>
                <w:szCs w:val="20"/>
              </w:rPr>
            </w:pPr>
            <w:r w:rsidRPr="004D3E4F">
              <w:rPr>
                <w:rFonts w:asciiTheme="minorHAnsi" w:eastAsiaTheme="minorHAnsi" w:hAnsiTheme="minorHAnsi" w:cstheme="minorHAnsi"/>
                <w:sz w:val="20"/>
                <w:szCs w:val="20"/>
              </w:rPr>
              <w:t xml:space="preserve">Authorized representative name, title, and </w:t>
            </w:r>
            <w:proofErr w:type="gramStart"/>
            <w:r w:rsidRPr="004D3E4F">
              <w:rPr>
                <w:rFonts w:asciiTheme="minorHAnsi" w:eastAsiaTheme="minorHAnsi" w:hAnsiTheme="minorHAnsi" w:cstheme="minorHAnsi"/>
                <w:sz w:val="20"/>
                <w:szCs w:val="20"/>
              </w:rPr>
              <w:t>email  ​</w:t>
            </w:r>
            <w:proofErr w:type="gramEnd"/>
          </w:p>
          <w:p w14:paraId="52E97592" w14:textId="77777777" w:rsidR="000D0A5B" w:rsidRPr="004D3E4F" w:rsidRDefault="000D0A5B" w:rsidP="004D3E4F">
            <w:pPr>
              <w:pStyle w:val="paragraph"/>
              <w:numPr>
                <w:ilvl w:val="0"/>
                <w:numId w:val="11"/>
              </w:numPr>
              <w:spacing w:before="0" w:beforeAutospacing="0" w:after="0" w:afterAutospacing="0"/>
              <w:textAlignment w:val="baseline"/>
              <w:rPr>
                <w:rFonts w:asciiTheme="minorHAnsi" w:eastAsiaTheme="minorHAnsi" w:hAnsiTheme="minorHAnsi" w:cstheme="minorHAnsi"/>
                <w:sz w:val="20"/>
                <w:szCs w:val="20"/>
              </w:rPr>
            </w:pPr>
            <w:r w:rsidRPr="004D3E4F">
              <w:rPr>
                <w:rFonts w:asciiTheme="minorHAnsi" w:eastAsiaTheme="minorHAnsi" w:hAnsiTheme="minorHAnsi" w:cstheme="minorHAnsi"/>
                <w:sz w:val="20"/>
                <w:szCs w:val="20"/>
              </w:rPr>
              <w:t>Contact person name, title, phone, and email ​</w:t>
            </w:r>
          </w:p>
          <w:p w14:paraId="61503668" w14:textId="77777777" w:rsidR="000D0A5B" w:rsidRPr="004D3E4F" w:rsidRDefault="000D0A5B" w:rsidP="004D3E4F">
            <w:pPr>
              <w:pStyle w:val="paragraph"/>
              <w:numPr>
                <w:ilvl w:val="0"/>
                <w:numId w:val="11"/>
              </w:numPr>
              <w:spacing w:before="0" w:beforeAutospacing="0" w:after="0" w:afterAutospacing="0"/>
              <w:textAlignment w:val="baseline"/>
              <w:rPr>
                <w:rFonts w:asciiTheme="minorHAnsi" w:eastAsiaTheme="minorHAnsi" w:hAnsiTheme="minorHAnsi" w:cstheme="minorHAnsi"/>
                <w:sz w:val="20"/>
                <w:szCs w:val="20"/>
              </w:rPr>
            </w:pPr>
            <w:r w:rsidRPr="004D3E4F">
              <w:rPr>
                <w:rFonts w:asciiTheme="minorHAnsi" w:eastAsiaTheme="minorHAnsi" w:hAnsiTheme="minorHAnsi" w:cstheme="minorHAnsi"/>
                <w:sz w:val="20"/>
                <w:szCs w:val="20"/>
              </w:rPr>
              <w:t>Financial institution information (e.g., routing and account number, financial institution name and contact information) ​</w:t>
            </w:r>
          </w:p>
          <w:p w14:paraId="5D4421D9" w14:textId="77777777" w:rsidR="000D0A5B" w:rsidRPr="004D3E4F" w:rsidRDefault="000D0A5B" w:rsidP="004D3E4F">
            <w:pPr>
              <w:pStyle w:val="paragraph"/>
              <w:numPr>
                <w:ilvl w:val="0"/>
                <w:numId w:val="11"/>
              </w:numPr>
              <w:spacing w:before="0" w:beforeAutospacing="0" w:after="0" w:afterAutospacing="0"/>
              <w:textAlignment w:val="baseline"/>
              <w:rPr>
                <w:rFonts w:asciiTheme="minorHAnsi" w:eastAsiaTheme="minorHAnsi" w:hAnsiTheme="minorHAnsi" w:cstheme="minorHAnsi"/>
                <w:sz w:val="20"/>
                <w:szCs w:val="20"/>
              </w:rPr>
            </w:pPr>
            <w:r w:rsidRPr="004D3E4F">
              <w:rPr>
                <w:rFonts w:asciiTheme="minorHAnsi" w:eastAsiaTheme="minorHAnsi" w:hAnsiTheme="minorHAnsi" w:cstheme="minorHAnsi"/>
                <w:sz w:val="20"/>
                <w:szCs w:val="20"/>
              </w:rPr>
              <w:t>Total NEU budget (defined as the annual total operating budget, including general fund and other funds, in effect as of January 27, 2020) or top-line expenditure total (in exceptional cases in which the NEU does not adopt a formal budget) ​</w:t>
            </w:r>
          </w:p>
          <w:p w14:paraId="19D37B85" w14:textId="77777777" w:rsidR="000D0A5B" w:rsidRPr="004D3E4F" w:rsidRDefault="000D0A5B" w:rsidP="004D3E4F">
            <w:pPr>
              <w:pStyle w:val="paragraph"/>
              <w:numPr>
                <w:ilvl w:val="0"/>
                <w:numId w:val="11"/>
              </w:numPr>
              <w:spacing w:before="0" w:beforeAutospacing="0" w:after="0" w:afterAutospacing="0"/>
              <w:textAlignment w:val="baseline"/>
              <w:rPr>
                <w:rFonts w:asciiTheme="minorHAnsi" w:eastAsiaTheme="minorHAnsi" w:hAnsiTheme="minorHAnsi" w:cstheme="minorHAnsi"/>
                <w:sz w:val="20"/>
                <w:szCs w:val="20"/>
              </w:rPr>
            </w:pPr>
            <w:r w:rsidRPr="004D3E4F">
              <w:rPr>
                <w:rFonts w:asciiTheme="minorHAnsi" w:eastAsiaTheme="minorHAnsi" w:hAnsiTheme="minorHAnsi" w:cstheme="minorHAnsi"/>
                <w:sz w:val="20"/>
                <w:szCs w:val="20"/>
              </w:rPr>
              <w:t>Agreement to certain terms and conditions of the funding</w:t>
            </w:r>
          </w:p>
          <w:p w14:paraId="6AE8FCA3" w14:textId="77777777" w:rsidR="000D0A5B" w:rsidRPr="00160271" w:rsidRDefault="000D0A5B" w:rsidP="001C737C">
            <w:pPr>
              <w:rPr>
                <w:rFonts w:cstheme="minorHAnsi"/>
                <w:sz w:val="20"/>
                <w:szCs w:val="20"/>
              </w:rPr>
            </w:pPr>
          </w:p>
          <w:p w14:paraId="12750F78" w14:textId="7B2C2280" w:rsidR="000D0A5B" w:rsidRPr="00160271" w:rsidRDefault="000D0A5B" w:rsidP="001C737C">
            <w:pPr>
              <w:rPr>
                <w:rFonts w:cstheme="minorHAnsi"/>
              </w:rPr>
            </w:pPr>
            <w:r w:rsidRPr="00160271">
              <w:rPr>
                <w:rFonts w:cstheme="minorHAnsi"/>
                <w:sz w:val="20"/>
                <w:szCs w:val="20"/>
              </w:rPr>
              <w:t xml:space="preserve">Treasury has prepared a </w:t>
            </w:r>
            <w:hyperlink r:id="rId13" w:history="1">
              <w:r w:rsidRPr="00160271">
                <w:rPr>
                  <w:rStyle w:val="Hyperlink"/>
                  <w:rFonts w:cstheme="minorHAnsi"/>
                  <w:sz w:val="20"/>
                  <w:szCs w:val="20"/>
                </w:rPr>
                <w:t>checklist</w:t>
              </w:r>
            </w:hyperlink>
            <w:r w:rsidRPr="00160271">
              <w:rPr>
                <w:rFonts w:cstheme="minorHAnsi"/>
                <w:sz w:val="20"/>
                <w:szCs w:val="20"/>
              </w:rPr>
              <w:t xml:space="preserve"> to assist NEUs in this process.</w:t>
            </w:r>
            <w:r w:rsidRPr="00160271">
              <w:rPr>
                <w:rFonts w:cstheme="minorHAnsi"/>
              </w:rPr>
              <w:t xml:space="preserve">  </w:t>
            </w:r>
          </w:p>
        </w:tc>
      </w:tr>
      <w:tr w:rsidR="000D0A5B" w:rsidRPr="00160271" w14:paraId="0C42CB65" w14:textId="77777777" w:rsidTr="40485134">
        <w:tc>
          <w:tcPr>
            <w:tcW w:w="419" w:type="dxa"/>
          </w:tcPr>
          <w:p w14:paraId="0DF719B8" w14:textId="06E4E2A8" w:rsidR="000D0A5B" w:rsidRPr="00160271" w:rsidRDefault="000D0A5B" w:rsidP="001C737C">
            <w:pPr>
              <w:rPr>
                <w:rFonts w:cstheme="minorHAnsi"/>
                <w:sz w:val="20"/>
                <w:szCs w:val="20"/>
              </w:rPr>
            </w:pPr>
            <w:r w:rsidRPr="00160271">
              <w:rPr>
                <w:rFonts w:cstheme="minorHAnsi"/>
                <w:sz w:val="20"/>
                <w:szCs w:val="20"/>
              </w:rPr>
              <w:lastRenderedPageBreak/>
              <w:t>3</w:t>
            </w:r>
          </w:p>
        </w:tc>
        <w:tc>
          <w:tcPr>
            <w:tcW w:w="1968" w:type="dxa"/>
          </w:tcPr>
          <w:p w14:paraId="5BA263DC" w14:textId="20BA15FB" w:rsidR="000D0A5B" w:rsidRPr="00160271" w:rsidRDefault="000D0A5B" w:rsidP="001C737C">
            <w:pPr>
              <w:rPr>
                <w:rFonts w:cstheme="minorHAnsi"/>
                <w:sz w:val="20"/>
                <w:szCs w:val="20"/>
              </w:rPr>
            </w:pPr>
            <w:r w:rsidRPr="00160271">
              <w:rPr>
                <w:rFonts w:cstheme="minorHAnsi"/>
                <w:sz w:val="20"/>
                <w:szCs w:val="20"/>
              </w:rPr>
              <w:t xml:space="preserve">Are there eligibility criteria that an NEU must meet in order to receive funds? </w:t>
            </w:r>
          </w:p>
        </w:tc>
        <w:tc>
          <w:tcPr>
            <w:tcW w:w="6968" w:type="dxa"/>
          </w:tcPr>
          <w:p w14:paraId="26396E72" w14:textId="77777777" w:rsidR="000D0A5B" w:rsidRPr="00160271" w:rsidRDefault="000D0A5B" w:rsidP="001C737C">
            <w:pPr>
              <w:rPr>
                <w:rFonts w:cstheme="minorHAnsi"/>
                <w:sz w:val="20"/>
                <w:szCs w:val="20"/>
              </w:rPr>
            </w:pPr>
            <w:r w:rsidRPr="00160271">
              <w:rPr>
                <w:rFonts w:cstheme="minorHAnsi"/>
                <w:sz w:val="20"/>
                <w:szCs w:val="20"/>
              </w:rPr>
              <w:t>As noted above, an NEU’s allocation is based on its population. Additionally, ARPA specifies that an NEU’s allocation may not exceed the amount equal to 75 percent of its most recent budget as of January 27, 2020.</w:t>
            </w:r>
          </w:p>
          <w:p w14:paraId="5FFD5475" w14:textId="77777777" w:rsidR="000D0A5B" w:rsidRPr="00160271" w:rsidRDefault="000D0A5B" w:rsidP="001C737C">
            <w:pPr>
              <w:rPr>
                <w:rFonts w:cstheme="minorHAnsi"/>
                <w:sz w:val="20"/>
                <w:szCs w:val="20"/>
              </w:rPr>
            </w:pPr>
          </w:p>
          <w:p w14:paraId="563992C7" w14:textId="77777777" w:rsidR="000D0A5B" w:rsidRPr="00160271" w:rsidRDefault="000D0A5B" w:rsidP="001C737C">
            <w:pPr>
              <w:rPr>
                <w:rFonts w:cstheme="minorHAnsi"/>
                <w:sz w:val="20"/>
                <w:szCs w:val="20"/>
              </w:rPr>
            </w:pPr>
            <w:r w:rsidRPr="00160271">
              <w:rPr>
                <w:rFonts w:cstheme="minorHAnsi"/>
                <w:sz w:val="20"/>
                <w:szCs w:val="20"/>
              </w:rPr>
              <w:t xml:space="preserve">Broadly, an NEU must accept </w:t>
            </w:r>
            <w:hyperlink r:id="rId14" w:history="1">
              <w:r w:rsidRPr="00160271">
                <w:rPr>
                  <w:rStyle w:val="Hyperlink"/>
                  <w:rFonts w:cstheme="minorHAnsi"/>
                  <w:sz w:val="20"/>
                  <w:szCs w:val="20"/>
                </w:rPr>
                <w:t>award terms and conditions</w:t>
              </w:r>
            </w:hyperlink>
            <w:r w:rsidRPr="00160271">
              <w:rPr>
                <w:rFonts w:cstheme="minorHAnsi"/>
                <w:sz w:val="20"/>
                <w:szCs w:val="20"/>
              </w:rPr>
              <w:t xml:space="preserve"> and assure compliance with </w:t>
            </w:r>
            <w:hyperlink r:id="rId15" w:history="1">
              <w:r w:rsidRPr="00160271">
                <w:rPr>
                  <w:rStyle w:val="Hyperlink"/>
                  <w:rFonts w:cstheme="minorHAnsi"/>
                  <w:sz w:val="20"/>
                  <w:szCs w:val="20"/>
                </w:rPr>
                <w:t>Title VI of the Civil Rights Act of 1964</w:t>
              </w:r>
            </w:hyperlink>
            <w:r w:rsidRPr="00160271">
              <w:rPr>
                <w:rFonts w:cstheme="minorHAnsi"/>
                <w:sz w:val="20"/>
                <w:szCs w:val="20"/>
              </w:rPr>
              <w:t xml:space="preserve">.  </w:t>
            </w:r>
          </w:p>
          <w:p w14:paraId="7157452D" w14:textId="77777777" w:rsidR="000D0A5B" w:rsidRPr="00160271" w:rsidRDefault="000D0A5B" w:rsidP="001C737C">
            <w:pPr>
              <w:rPr>
                <w:rFonts w:cstheme="minorHAnsi"/>
                <w:sz w:val="20"/>
                <w:szCs w:val="20"/>
              </w:rPr>
            </w:pPr>
          </w:p>
          <w:p w14:paraId="7FDDDBB7" w14:textId="53A89C3D" w:rsidR="000D0A5B" w:rsidRPr="00160271" w:rsidRDefault="000D0A5B" w:rsidP="001C737C">
            <w:pPr>
              <w:rPr>
                <w:rFonts w:cstheme="minorHAnsi"/>
                <w:sz w:val="20"/>
                <w:szCs w:val="20"/>
              </w:rPr>
            </w:pPr>
            <w:r w:rsidRPr="00160271">
              <w:rPr>
                <w:rFonts w:cstheme="minorHAnsi"/>
                <w:sz w:val="20"/>
                <w:szCs w:val="20"/>
              </w:rPr>
              <w:t xml:space="preserve">A state may not impose additional requirements on an NEU in order to receive its allocation of funds.  </w:t>
            </w:r>
          </w:p>
        </w:tc>
      </w:tr>
      <w:tr w:rsidR="000D0A5B" w:rsidRPr="00160271" w14:paraId="54A8E0EB" w14:textId="77777777" w:rsidTr="40485134">
        <w:tc>
          <w:tcPr>
            <w:tcW w:w="419" w:type="dxa"/>
          </w:tcPr>
          <w:p w14:paraId="4662C08A" w14:textId="1BA92845" w:rsidR="000D0A5B" w:rsidRPr="00160271" w:rsidRDefault="000D0A5B" w:rsidP="009F185C">
            <w:pPr>
              <w:rPr>
                <w:rFonts w:cstheme="minorHAnsi"/>
                <w:sz w:val="20"/>
                <w:szCs w:val="20"/>
              </w:rPr>
            </w:pPr>
            <w:r w:rsidRPr="00160271">
              <w:rPr>
                <w:rFonts w:cstheme="minorHAnsi"/>
                <w:sz w:val="20"/>
                <w:szCs w:val="20"/>
              </w:rPr>
              <w:t>4</w:t>
            </w:r>
          </w:p>
        </w:tc>
        <w:tc>
          <w:tcPr>
            <w:tcW w:w="1968" w:type="dxa"/>
          </w:tcPr>
          <w:p w14:paraId="55814413" w14:textId="3D56D0C5" w:rsidR="000D0A5B" w:rsidRPr="00160271" w:rsidRDefault="000D0A5B" w:rsidP="009F185C">
            <w:pPr>
              <w:rPr>
                <w:rFonts w:cstheme="minorHAnsi"/>
                <w:sz w:val="20"/>
                <w:szCs w:val="20"/>
              </w:rPr>
            </w:pPr>
            <w:r w:rsidRPr="00160271">
              <w:rPr>
                <w:rFonts w:cstheme="minorHAnsi"/>
                <w:sz w:val="20"/>
                <w:szCs w:val="20"/>
              </w:rPr>
              <w:t xml:space="preserve">What if an NEU does not adopt a formal annual budget? </w:t>
            </w:r>
          </w:p>
        </w:tc>
        <w:tc>
          <w:tcPr>
            <w:tcW w:w="6968" w:type="dxa"/>
          </w:tcPr>
          <w:p w14:paraId="5B1D73DA" w14:textId="67348601" w:rsidR="000D0A5B" w:rsidRPr="00160271" w:rsidRDefault="000D0A5B" w:rsidP="009F185C">
            <w:pPr>
              <w:rPr>
                <w:rFonts w:cstheme="minorHAnsi"/>
                <w:sz w:val="20"/>
                <w:szCs w:val="20"/>
              </w:rPr>
            </w:pPr>
            <w:r w:rsidRPr="00160271">
              <w:rPr>
                <w:rFonts w:cstheme="minorHAnsi"/>
                <w:sz w:val="20"/>
                <w:szCs w:val="20"/>
              </w:rPr>
              <w:t>If a</w:t>
            </w:r>
            <w:r>
              <w:rPr>
                <w:rFonts w:cstheme="minorHAnsi"/>
                <w:sz w:val="20"/>
                <w:szCs w:val="20"/>
              </w:rPr>
              <w:t>n</w:t>
            </w:r>
            <w:r w:rsidRPr="00160271">
              <w:rPr>
                <w:rFonts w:cstheme="minorHAnsi"/>
                <w:sz w:val="20"/>
                <w:szCs w:val="20"/>
              </w:rPr>
              <w:t xml:space="preserve"> NEU does not adopt a formal budget, it may instead certify its most recent annual total expenditures as of January 27, 2020. Note: these numbers may be verified against a copy of the appropriate budget documents submitted in the NEU’s first report to Treasury.</w:t>
            </w:r>
          </w:p>
        </w:tc>
      </w:tr>
      <w:tr w:rsidR="000D0A5B" w:rsidRPr="00160271" w14:paraId="0BB07F4B" w14:textId="77777777" w:rsidTr="40485134">
        <w:tc>
          <w:tcPr>
            <w:tcW w:w="419" w:type="dxa"/>
          </w:tcPr>
          <w:p w14:paraId="35C13D4A" w14:textId="516B839F" w:rsidR="000D0A5B" w:rsidRPr="00160271" w:rsidRDefault="000D0A5B" w:rsidP="009F185C">
            <w:pPr>
              <w:rPr>
                <w:rFonts w:cstheme="minorHAnsi"/>
                <w:sz w:val="20"/>
                <w:szCs w:val="20"/>
              </w:rPr>
            </w:pPr>
            <w:r w:rsidRPr="00160271">
              <w:rPr>
                <w:rFonts w:cstheme="minorHAnsi"/>
                <w:sz w:val="20"/>
                <w:szCs w:val="20"/>
              </w:rPr>
              <w:t>5</w:t>
            </w:r>
          </w:p>
        </w:tc>
        <w:tc>
          <w:tcPr>
            <w:tcW w:w="1968" w:type="dxa"/>
          </w:tcPr>
          <w:p w14:paraId="5159062A" w14:textId="3A23ACCB" w:rsidR="000D0A5B" w:rsidRPr="00160271" w:rsidRDefault="000D0A5B" w:rsidP="009F185C">
            <w:pPr>
              <w:rPr>
                <w:rFonts w:cstheme="minorHAnsi"/>
                <w:sz w:val="20"/>
                <w:szCs w:val="20"/>
              </w:rPr>
            </w:pPr>
            <w:r w:rsidRPr="00160271">
              <w:rPr>
                <w:rFonts w:cstheme="minorHAnsi"/>
                <w:sz w:val="20"/>
                <w:szCs w:val="20"/>
              </w:rPr>
              <w:t>What happens if an NEU’s funding allocation exceeds 75 percent of its budget?</w:t>
            </w:r>
          </w:p>
        </w:tc>
        <w:tc>
          <w:tcPr>
            <w:tcW w:w="6968" w:type="dxa"/>
          </w:tcPr>
          <w:p w14:paraId="5F4E61A2" w14:textId="53BFBFCD" w:rsidR="000D0A5B" w:rsidRPr="00160271" w:rsidRDefault="000D0A5B" w:rsidP="009F185C">
            <w:pPr>
              <w:rPr>
                <w:rFonts w:cstheme="minorHAnsi"/>
                <w:sz w:val="20"/>
                <w:szCs w:val="20"/>
              </w:rPr>
            </w:pPr>
            <w:r w:rsidRPr="00160271">
              <w:rPr>
                <w:rFonts w:cstheme="minorHAnsi"/>
                <w:sz w:val="20"/>
                <w:szCs w:val="20"/>
              </w:rPr>
              <w:t>If an NEU’s total allocation is found to be more than 75 percent of its budget, the State must return the amount of the allocation in excess of the NEU’s reference budget to Treasury.</w:t>
            </w:r>
          </w:p>
        </w:tc>
      </w:tr>
      <w:tr w:rsidR="000D0A5B" w:rsidRPr="00160271" w14:paraId="419D783F" w14:textId="77777777" w:rsidTr="40485134">
        <w:tc>
          <w:tcPr>
            <w:tcW w:w="419" w:type="dxa"/>
          </w:tcPr>
          <w:p w14:paraId="101D4FCE" w14:textId="768A13FB" w:rsidR="000D0A5B" w:rsidRPr="00160271" w:rsidRDefault="000D0A5B" w:rsidP="009F185C">
            <w:pPr>
              <w:rPr>
                <w:rFonts w:cstheme="minorHAnsi"/>
                <w:sz w:val="20"/>
                <w:szCs w:val="20"/>
              </w:rPr>
            </w:pPr>
            <w:r w:rsidRPr="00160271">
              <w:rPr>
                <w:rFonts w:cstheme="minorHAnsi"/>
                <w:sz w:val="20"/>
                <w:szCs w:val="20"/>
              </w:rPr>
              <w:t>6</w:t>
            </w:r>
          </w:p>
        </w:tc>
        <w:tc>
          <w:tcPr>
            <w:tcW w:w="1968" w:type="dxa"/>
          </w:tcPr>
          <w:p w14:paraId="4F8B57D1" w14:textId="7D825A25" w:rsidR="000D0A5B" w:rsidRPr="00160271" w:rsidRDefault="000D0A5B" w:rsidP="009F185C">
            <w:pPr>
              <w:rPr>
                <w:rFonts w:cstheme="minorHAnsi"/>
                <w:sz w:val="20"/>
                <w:szCs w:val="20"/>
              </w:rPr>
            </w:pPr>
            <w:r w:rsidRPr="00160271">
              <w:rPr>
                <w:rFonts w:cstheme="minorHAnsi"/>
                <w:sz w:val="20"/>
                <w:szCs w:val="20"/>
              </w:rPr>
              <w:t xml:space="preserve">Can an NEU decline funding? </w:t>
            </w:r>
          </w:p>
        </w:tc>
        <w:tc>
          <w:tcPr>
            <w:tcW w:w="6968" w:type="dxa"/>
          </w:tcPr>
          <w:p w14:paraId="01EAED5A" w14:textId="77777777" w:rsidR="000D0A5B" w:rsidRPr="00160271" w:rsidRDefault="000D0A5B" w:rsidP="009F185C">
            <w:pPr>
              <w:rPr>
                <w:rFonts w:cstheme="minorHAnsi"/>
                <w:sz w:val="20"/>
                <w:szCs w:val="20"/>
              </w:rPr>
            </w:pPr>
            <w:r w:rsidRPr="00160271">
              <w:rPr>
                <w:rFonts w:cstheme="minorHAnsi"/>
                <w:sz w:val="20"/>
                <w:szCs w:val="20"/>
              </w:rPr>
              <w:t>Yes</w:t>
            </w:r>
            <w:r w:rsidRPr="00160271">
              <w:rPr>
                <w:rFonts w:cstheme="minorHAnsi"/>
                <w:i/>
                <w:iCs/>
                <w:sz w:val="20"/>
                <w:szCs w:val="20"/>
              </w:rPr>
              <w:t xml:space="preserve">. </w:t>
            </w:r>
            <w:r w:rsidRPr="00160271">
              <w:rPr>
                <w:rFonts w:cstheme="minorHAnsi"/>
                <w:sz w:val="20"/>
                <w:szCs w:val="20"/>
              </w:rPr>
              <w:t xml:space="preserve">An NEU may decline its funding allocation and transfer funds to the State by providing a signed notice to the State. </w:t>
            </w:r>
          </w:p>
          <w:p w14:paraId="1DCA7BA6" w14:textId="77777777" w:rsidR="000D0A5B" w:rsidRPr="00160271" w:rsidRDefault="000D0A5B" w:rsidP="009F185C">
            <w:pPr>
              <w:rPr>
                <w:rFonts w:cstheme="minorHAnsi"/>
                <w:sz w:val="20"/>
                <w:szCs w:val="20"/>
              </w:rPr>
            </w:pPr>
          </w:p>
          <w:p w14:paraId="2FB4DFCB" w14:textId="216CEB33" w:rsidR="000D0A5B" w:rsidRPr="00160271" w:rsidRDefault="000D0A5B" w:rsidP="009F185C">
            <w:pPr>
              <w:rPr>
                <w:rFonts w:cstheme="minorHAnsi"/>
                <w:sz w:val="20"/>
                <w:szCs w:val="20"/>
              </w:rPr>
            </w:pPr>
            <w:r w:rsidRPr="00160271">
              <w:rPr>
                <w:rFonts w:cstheme="minorHAnsi"/>
                <w:sz w:val="20"/>
                <w:szCs w:val="20"/>
              </w:rPr>
              <w:t>Importantly</w:t>
            </w:r>
            <w:r>
              <w:rPr>
                <w:rFonts w:cstheme="minorHAnsi"/>
                <w:sz w:val="20"/>
                <w:szCs w:val="20"/>
              </w:rPr>
              <w:t>, per Treasury guidance</w:t>
            </w:r>
            <w:r w:rsidRPr="00160271">
              <w:rPr>
                <w:rFonts w:cstheme="minorHAnsi"/>
                <w:sz w:val="20"/>
                <w:szCs w:val="20"/>
              </w:rPr>
              <w:t>: “If the NEU does not provide such notice, it will remain legally obligated under the award with respect to accounting for the uses of the funds and the reporting on such uses. Treasury will provide a standard notice form that will be required for this use.”</w:t>
            </w:r>
          </w:p>
        </w:tc>
      </w:tr>
      <w:tr w:rsidR="000D0A5B" w:rsidRPr="00160271" w14:paraId="784B71A5" w14:textId="77777777" w:rsidTr="40485134">
        <w:tc>
          <w:tcPr>
            <w:tcW w:w="419" w:type="dxa"/>
          </w:tcPr>
          <w:p w14:paraId="418E93CD" w14:textId="5C617CF1" w:rsidR="000D0A5B" w:rsidRPr="00160271" w:rsidRDefault="000D0A5B" w:rsidP="009F185C">
            <w:pPr>
              <w:rPr>
                <w:rFonts w:cstheme="minorHAnsi"/>
                <w:sz w:val="20"/>
                <w:szCs w:val="20"/>
              </w:rPr>
            </w:pPr>
            <w:r w:rsidRPr="00160271">
              <w:rPr>
                <w:rFonts w:cstheme="minorHAnsi"/>
                <w:sz w:val="20"/>
                <w:szCs w:val="20"/>
              </w:rPr>
              <w:t>7</w:t>
            </w:r>
          </w:p>
        </w:tc>
        <w:tc>
          <w:tcPr>
            <w:tcW w:w="1968" w:type="dxa"/>
          </w:tcPr>
          <w:p w14:paraId="15C8F62B" w14:textId="49A16A68" w:rsidR="000D0A5B" w:rsidRPr="00160271" w:rsidRDefault="000D0A5B" w:rsidP="009F185C">
            <w:pPr>
              <w:rPr>
                <w:rFonts w:cstheme="minorHAnsi"/>
                <w:sz w:val="20"/>
                <w:szCs w:val="20"/>
              </w:rPr>
            </w:pPr>
            <w:r w:rsidRPr="00160271">
              <w:rPr>
                <w:rFonts w:cstheme="minorHAnsi"/>
                <w:sz w:val="20"/>
                <w:szCs w:val="20"/>
              </w:rPr>
              <w:t>What if an NEU doesn’t take any action (e.g. neither applies for nor declines funding)?</w:t>
            </w:r>
          </w:p>
        </w:tc>
        <w:tc>
          <w:tcPr>
            <w:tcW w:w="6968" w:type="dxa"/>
          </w:tcPr>
          <w:p w14:paraId="5998892A" w14:textId="26104B62" w:rsidR="000D0A5B" w:rsidRPr="00160271" w:rsidRDefault="000D0A5B" w:rsidP="009F185C">
            <w:pPr>
              <w:rPr>
                <w:rFonts w:cstheme="minorHAnsi"/>
                <w:sz w:val="20"/>
                <w:szCs w:val="20"/>
              </w:rPr>
            </w:pPr>
            <w:r w:rsidRPr="00160271">
              <w:rPr>
                <w:rFonts w:cstheme="minorHAnsi"/>
                <w:sz w:val="20"/>
                <w:szCs w:val="20"/>
              </w:rPr>
              <w:t xml:space="preserve">If an NEU is unresponsive, the State may distribute its funds to other NEUs – specifically to “residual NEUs,” which are those whose initial funding distribution was below their 75 percent budget cap.  </w:t>
            </w:r>
          </w:p>
        </w:tc>
      </w:tr>
      <w:tr w:rsidR="000D0A5B" w:rsidRPr="00160271" w14:paraId="3EB0B88B" w14:textId="77777777" w:rsidTr="40485134">
        <w:tc>
          <w:tcPr>
            <w:tcW w:w="419" w:type="dxa"/>
          </w:tcPr>
          <w:p w14:paraId="1662D194" w14:textId="619E3FD2" w:rsidR="000D0A5B" w:rsidRPr="00160271" w:rsidRDefault="000D0A5B" w:rsidP="009F185C">
            <w:pPr>
              <w:rPr>
                <w:rFonts w:cstheme="minorHAnsi"/>
                <w:sz w:val="20"/>
                <w:szCs w:val="20"/>
              </w:rPr>
            </w:pPr>
            <w:r w:rsidRPr="00160271">
              <w:rPr>
                <w:rFonts w:cstheme="minorHAnsi"/>
                <w:sz w:val="20"/>
                <w:szCs w:val="20"/>
              </w:rPr>
              <w:t>8</w:t>
            </w:r>
          </w:p>
        </w:tc>
        <w:tc>
          <w:tcPr>
            <w:tcW w:w="1968" w:type="dxa"/>
          </w:tcPr>
          <w:p w14:paraId="680EE218" w14:textId="3FF81E41" w:rsidR="000D0A5B" w:rsidRPr="00160271" w:rsidRDefault="000D0A5B" w:rsidP="009F185C">
            <w:pPr>
              <w:rPr>
                <w:rFonts w:cstheme="minorHAnsi"/>
                <w:sz w:val="20"/>
                <w:szCs w:val="20"/>
              </w:rPr>
            </w:pPr>
            <w:r w:rsidRPr="00160271">
              <w:rPr>
                <w:rFonts w:cstheme="minorHAnsi"/>
                <w:sz w:val="20"/>
                <w:szCs w:val="20"/>
              </w:rPr>
              <w:t xml:space="preserve">Can an NEU receive funds directly through Treasury? </w:t>
            </w:r>
          </w:p>
        </w:tc>
        <w:tc>
          <w:tcPr>
            <w:tcW w:w="6968" w:type="dxa"/>
          </w:tcPr>
          <w:p w14:paraId="1E04AFED" w14:textId="37767C2F" w:rsidR="000D0A5B" w:rsidRPr="00160271" w:rsidRDefault="000D0A5B" w:rsidP="009F185C">
            <w:pPr>
              <w:rPr>
                <w:rFonts w:cstheme="minorHAnsi"/>
                <w:sz w:val="20"/>
                <w:szCs w:val="20"/>
              </w:rPr>
            </w:pPr>
            <w:r w:rsidRPr="00160271">
              <w:rPr>
                <w:rFonts w:cstheme="minorHAnsi"/>
                <w:sz w:val="20"/>
                <w:szCs w:val="20"/>
              </w:rPr>
              <w:t>No. NEUs may only receive funds through the state. NEUs are not eligible to receive this funding directly from Treasury and should not request funding.</w:t>
            </w:r>
          </w:p>
        </w:tc>
      </w:tr>
      <w:tr w:rsidR="000D0A5B" w:rsidRPr="00160271" w14:paraId="42BC908F" w14:textId="77777777" w:rsidTr="40485134">
        <w:tc>
          <w:tcPr>
            <w:tcW w:w="419" w:type="dxa"/>
          </w:tcPr>
          <w:p w14:paraId="693A0B4F" w14:textId="1E210A9F" w:rsidR="000D0A5B" w:rsidRPr="00160271" w:rsidRDefault="000D0A5B" w:rsidP="009F185C">
            <w:pPr>
              <w:rPr>
                <w:rFonts w:cstheme="minorHAnsi"/>
                <w:sz w:val="20"/>
                <w:szCs w:val="20"/>
              </w:rPr>
            </w:pPr>
            <w:r w:rsidRPr="00160271">
              <w:rPr>
                <w:rFonts w:cstheme="minorHAnsi"/>
                <w:sz w:val="20"/>
                <w:szCs w:val="20"/>
              </w:rPr>
              <w:t>9</w:t>
            </w:r>
          </w:p>
        </w:tc>
        <w:tc>
          <w:tcPr>
            <w:tcW w:w="1968" w:type="dxa"/>
          </w:tcPr>
          <w:p w14:paraId="72D0B83A" w14:textId="4E875846" w:rsidR="000D0A5B" w:rsidRPr="00160271" w:rsidRDefault="000D0A5B" w:rsidP="009F185C">
            <w:pPr>
              <w:rPr>
                <w:rFonts w:cstheme="minorHAnsi"/>
                <w:sz w:val="20"/>
                <w:szCs w:val="20"/>
              </w:rPr>
            </w:pPr>
            <w:r w:rsidRPr="00160271">
              <w:rPr>
                <w:rFonts w:cstheme="minorHAnsi"/>
                <w:sz w:val="20"/>
                <w:szCs w:val="20"/>
              </w:rPr>
              <w:t xml:space="preserve">Who is authorized to represent an NEU in this process? </w:t>
            </w:r>
          </w:p>
        </w:tc>
        <w:tc>
          <w:tcPr>
            <w:tcW w:w="6968" w:type="dxa"/>
          </w:tcPr>
          <w:p w14:paraId="5A6265BD" w14:textId="125C29E1" w:rsidR="000D0A5B" w:rsidRPr="00160271" w:rsidRDefault="000D0A5B" w:rsidP="009F185C">
            <w:pPr>
              <w:rPr>
                <w:rFonts w:cstheme="minorHAnsi"/>
                <w:sz w:val="20"/>
                <w:szCs w:val="20"/>
              </w:rPr>
            </w:pPr>
            <w:r w:rsidRPr="00160271">
              <w:rPr>
                <w:rFonts w:cstheme="minorHAnsi"/>
                <w:sz w:val="20"/>
                <w:szCs w:val="20"/>
              </w:rPr>
              <w:t xml:space="preserve">Per </w:t>
            </w:r>
            <w:hyperlink r:id="rId16" w:history="1">
              <w:r w:rsidRPr="00160271">
                <w:rPr>
                  <w:rStyle w:val="Hyperlink"/>
                  <w:rFonts w:cstheme="minorHAnsi"/>
                  <w:sz w:val="20"/>
                  <w:szCs w:val="20"/>
                </w:rPr>
                <w:t xml:space="preserve">Treasury’s </w:t>
              </w:r>
              <w:r>
                <w:rPr>
                  <w:rStyle w:val="Hyperlink"/>
                  <w:rFonts w:cstheme="minorHAnsi"/>
                  <w:sz w:val="20"/>
                  <w:szCs w:val="20"/>
                </w:rPr>
                <w:t>June 10</w:t>
              </w:r>
              <w:r w:rsidRPr="00160271">
                <w:rPr>
                  <w:rStyle w:val="Hyperlink"/>
                  <w:rFonts w:cstheme="minorHAnsi"/>
                  <w:sz w:val="20"/>
                  <w:szCs w:val="20"/>
                </w:rPr>
                <w:t>th FAQs</w:t>
              </w:r>
            </w:hyperlink>
            <w:r w:rsidRPr="00160271">
              <w:rPr>
                <w:rFonts w:cstheme="minorHAnsi"/>
                <w:sz w:val="20"/>
                <w:szCs w:val="20"/>
              </w:rPr>
              <w:t xml:space="preserve">: </w:t>
            </w:r>
          </w:p>
          <w:p w14:paraId="0CB16633" w14:textId="77777777" w:rsidR="000D0A5B" w:rsidRPr="00160271" w:rsidRDefault="000D0A5B" w:rsidP="009F185C">
            <w:pPr>
              <w:rPr>
                <w:rFonts w:cstheme="minorHAnsi"/>
                <w:sz w:val="20"/>
                <w:szCs w:val="20"/>
              </w:rPr>
            </w:pPr>
          </w:p>
          <w:p w14:paraId="4C3883CD" w14:textId="2182A629" w:rsidR="000D0A5B" w:rsidRPr="00160271" w:rsidRDefault="000D0A5B" w:rsidP="009F185C">
            <w:pPr>
              <w:rPr>
                <w:rFonts w:cstheme="minorHAnsi"/>
                <w:i/>
                <w:iCs/>
                <w:sz w:val="20"/>
                <w:szCs w:val="20"/>
              </w:rPr>
            </w:pPr>
            <w:r w:rsidRPr="00160271">
              <w:rPr>
                <w:rFonts w:cstheme="minorHAnsi"/>
                <w:i/>
                <w:iCs/>
                <w:sz w:val="20"/>
                <w:szCs w:val="20"/>
              </w:rPr>
              <w:t>“An Authorized Representative is an individual with legal authority to bind the government entity (e.g., the Chief Executive Officer of the government entity). An Authorized Representative must sign the Acceptance of Award terms for it to be valid.”</w:t>
            </w:r>
            <w:r w:rsidRPr="00160271">
              <w:rPr>
                <w:rFonts w:cstheme="minorHAnsi"/>
                <w:i/>
                <w:iCs/>
              </w:rPr>
              <w:t xml:space="preserve"> </w:t>
            </w:r>
          </w:p>
        </w:tc>
      </w:tr>
      <w:tr w:rsidR="000D0A5B" w:rsidRPr="00160271" w14:paraId="5DC39509" w14:textId="77777777" w:rsidTr="40485134">
        <w:tc>
          <w:tcPr>
            <w:tcW w:w="419" w:type="dxa"/>
          </w:tcPr>
          <w:p w14:paraId="3CA63CAE" w14:textId="7A306A5B" w:rsidR="000D0A5B" w:rsidRPr="00160271" w:rsidRDefault="000D0A5B" w:rsidP="009F185C">
            <w:pPr>
              <w:rPr>
                <w:rFonts w:cstheme="minorHAnsi"/>
                <w:sz w:val="20"/>
                <w:szCs w:val="20"/>
              </w:rPr>
            </w:pPr>
            <w:r>
              <w:rPr>
                <w:rFonts w:cstheme="minorHAnsi"/>
                <w:sz w:val="20"/>
                <w:szCs w:val="20"/>
              </w:rPr>
              <w:lastRenderedPageBreak/>
              <w:t>10</w:t>
            </w:r>
          </w:p>
        </w:tc>
        <w:tc>
          <w:tcPr>
            <w:tcW w:w="1968" w:type="dxa"/>
          </w:tcPr>
          <w:p w14:paraId="5072A2F2" w14:textId="730DFCF7" w:rsidR="000D0A5B" w:rsidRPr="00160271" w:rsidRDefault="000D0A5B" w:rsidP="009F185C">
            <w:pPr>
              <w:rPr>
                <w:rFonts w:cstheme="minorHAnsi"/>
                <w:sz w:val="20"/>
                <w:szCs w:val="20"/>
              </w:rPr>
            </w:pPr>
            <w:r>
              <w:rPr>
                <w:rFonts w:cstheme="minorHAnsi"/>
                <w:sz w:val="20"/>
                <w:szCs w:val="20"/>
              </w:rPr>
              <w:t xml:space="preserve">Are federal compliance requirements applicable for receipt of LFRF funds?  </w:t>
            </w:r>
          </w:p>
        </w:tc>
        <w:tc>
          <w:tcPr>
            <w:tcW w:w="6968" w:type="dxa"/>
          </w:tcPr>
          <w:p w14:paraId="632DC4A4" w14:textId="77777777" w:rsidR="000D0A5B" w:rsidRPr="00331169" w:rsidRDefault="000D0A5B" w:rsidP="00425EDF">
            <w:pPr>
              <w:rPr>
                <w:rFonts w:cstheme="minorHAnsi"/>
                <w:sz w:val="20"/>
                <w:szCs w:val="20"/>
              </w:rPr>
            </w:pPr>
            <w:r>
              <w:rPr>
                <w:rFonts w:cstheme="minorHAnsi"/>
                <w:sz w:val="20"/>
                <w:szCs w:val="20"/>
              </w:rPr>
              <w:t xml:space="preserve">Yes.  </w:t>
            </w:r>
            <w:r w:rsidRPr="00425EDF">
              <w:rPr>
                <w:rFonts w:cstheme="minorHAnsi"/>
                <w:sz w:val="20"/>
                <w:szCs w:val="20"/>
              </w:rPr>
              <w:t xml:space="preserve">The Office of Management and Budget's (OMB) Uniform Administrative Requirements, Cost Principles, and Audit Requirements </w:t>
            </w:r>
            <w:r w:rsidRPr="00331169">
              <w:rPr>
                <w:rFonts w:cstheme="minorHAnsi"/>
                <w:sz w:val="20"/>
                <w:szCs w:val="20"/>
              </w:rPr>
              <w:t xml:space="preserve">for Federal Awards ("Uniform Guidance") apply to the LFRF. These include, </w:t>
            </w:r>
            <w:r w:rsidRPr="00331169">
              <w:rPr>
                <w:rFonts w:cstheme="minorHAnsi"/>
                <w:sz w:val="20"/>
                <w:szCs w:val="20"/>
                <w:u w:val="single"/>
              </w:rPr>
              <w:t>but are not limited to</w:t>
            </w:r>
            <w:r w:rsidRPr="00331169">
              <w:rPr>
                <w:rFonts w:cstheme="minorHAnsi"/>
                <w:sz w:val="20"/>
                <w:szCs w:val="20"/>
              </w:rPr>
              <w:t xml:space="preserve">: </w:t>
            </w:r>
          </w:p>
          <w:p w14:paraId="6DDDB81E" w14:textId="77777777" w:rsidR="000D0A5B" w:rsidRPr="00331169" w:rsidRDefault="000D0A5B" w:rsidP="00425EDF">
            <w:pPr>
              <w:numPr>
                <w:ilvl w:val="0"/>
                <w:numId w:val="12"/>
              </w:numPr>
              <w:rPr>
                <w:rFonts w:cstheme="minorHAnsi"/>
                <w:sz w:val="20"/>
                <w:szCs w:val="20"/>
              </w:rPr>
            </w:pPr>
            <w:r w:rsidRPr="00331169">
              <w:rPr>
                <w:rFonts w:cstheme="minorHAnsi"/>
                <w:sz w:val="20"/>
                <w:szCs w:val="20"/>
              </w:rPr>
              <w:t xml:space="preserve">Contracts must follow federal procurement rules and cost principles. </w:t>
            </w:r>
          </w:p>
          <w:p w14:paraId="6DED505B" w14:textId="77777777" w:rsidR="000D0A5B" w:rsidRPr="00425EDF" w:rsidRDefault="000D0A5B" w:rsidP="00425EDF">
            <w:pPr>
              <w:numPr>
                <w:ilvl w:val="0"/>
                <w:numId w:val="12"/>
              </w:numPr>
              <w:rPr>
                <w:rFonts w:cstheme="minorHAnsi"/>
                <w:sz w:val="20"/>
                <w:szCs w:val="20"/>
              </w:rPr>
            </w:pPr>
            <w:r w:rsidRPr="00331169">
              <w:rPr>
                <w:rFonts w:cstheme="minorHAnsi"/>
                <w:sz w:val="20"/>
                <w:szCs w:val="20"/>
              </w:rPr>
              <w:t>Cities/towns may enter into Grant Agreements with subrecipients (such as to broadband suppliers</w:t>
            </w:r>
            <w:r w:rsidRPr="00425EDF">
              <w:rPr>
                <w:rFonts w:cstheme="minorHAnsi"/>
                <w:sz w:val="20"/>
                <w:szCs w:val="20"/>
              </w:rPr>
              <w:t xml:space="preserve">, water departments, or school districts that serve multiple NEUs). Cities/towns are responsible for monitoring and reporting on sub-recipient use of LFRF funds. </w:t>
            </w:r>
          </w:p>
          <w:p w14:paraId="44309DD5" w14:textId="07C409DF" w:rsidR="000D0A5B" w:rsidRDefault="000D0A5B" w:rsidP="00425EDF">
            <w:pPr>
              <w:numPr>
                <w:ilvl w:val="0"/>
                <w:numId w:val="12"/>
              </w:numPr>
              <w:rPr>
                <w:rFonts w:cstheme="minorHAnsi"/>
                <w:sz w:val="20"/>
                <w:szCs w:val="20"/>
              </w:rPr>
            </w:pPr>
            <w:r w:rsidRPr="00425EDF">
              <w:rPr>
                <w:rFonts w:cstheme="minorHAnsi"/>
                <w:sz w:val="20"/>
                <w:szCs w:val="20"/>
              </w:rPr>
              <w:t xml:space="preserve">Single Audit requirements apply to subrecipients who </w:t>
            </w:r>
            <w:r w:rsidRPr="00331169">
              <w:rPr>
                <w:rFonts w:cstheme="minorHAnsi"/>
                <w:sz w:val="20"/>
                <w:szCs w:val="20"/>
              </w:rPr>
              <w:t xml:space="preserve">receive </w:t>
            </w:r>
            <w:r w:rsidRPr="00331169">
              <w:rPr>
                <w:rFonts w:cstheme="minorHAnsi"/>
                <w:sz w:val="20"/>
                <w:szCs w:val="20"/>
                <w:u w:val="single"/>
              </w:rPr>
              <w:t>in the aggregate</w:t>
            </w:r>
            <w:r w:rsidRPr="00331169">
              <w:rPr>
                <w:rFonts w:cstheme="minorHAnsi"/>
                <w:sz w:val="20"/>
                <w:szCs w:val="20"/>
              </w:rPr>
              <w:t xml:space="preserve"> more than $750,000 in federal funds annually.</w:t>
            </w:r>
          </w:p>
          <w:p w14:paraId="06BB77CC" w14:textId="77777777" w:rsidR="000D0A5B" w:rsidRPr="00425EDF" w:rsidRDefault="000D0A5B" w:rsidP="00425EDF">
            <w:pPr>
              <w:ind w:left="360"/>
              <w:rPr>
                <w:rFonts w:cstheme="minorHAnsi"/>
                <w:sz w:val="20"/>
                <w:szCs w:val="20"/>
              </w:rPr>
            </w:pPr>
          </w:p>
          <w:p w14:paraId="5A6AE3CF" w14:textId="6E610C91" w:rsidR="000D0A5B" w:rsidRPr="00425EDF" w:rsidRDefault="000D0A5B" w:rsidP="00FD7CE3">
            <w:pPr>
              <w:tabs>
                <w:tab w:val="num" w:pos="720"/>
              </w:tabs>
              <w:rPr>
                <w:rFonts w:cstheme="minorHAnsi"/>
                <w:sz w:val="20"/>
                <w:szCs w:val="20"/>
              </w:rPr>
            </w:pPr>
            <w:r w:rsidRPr="00425EDF">
              <w:rPr>
                <w:rFonts w:cstheme="minorHAnsi"/>
                <w:sz w:val="20"/>
                <w:szCs w:val="20"/>
              </w:rPr>
              <w:t xml:space="preserve">For a summary of LFRF-applicable requirements, see the </w:t>
            </w:r>
            <w:hyperlink r:id="rId17" w:history="1">
              <w:r w:rsidRPr="00425EDF">
                <w:rPr>
                  <w:rStyle w:val="Hyperlink"/>
                  <w:rFonts w:cstheme="minorHAnsi"/>
                  <w:sz w:val="20"/>
                  <w:szCs w:val="20"/>
                </w:rPr>
                <w:t>SAM.gov site specific to Coronavirus State and Local Fiscal Recovery Funds here</w:t>
              </w:r>
            </w:hyperlink>
            <w:r w:rsidRPr="00425EDF">
              <w:rPr>
                <w:rFonts w:cstheme="minorHAnsi"/>
                <w:sz w:val="20"/>
                <w:szCs w:val="20"/>
              </w:rPr>
              <w:t xml:space="preserve"> (see "Compliance Requirements" section).  For the full text of applicable requirements, see </w:t>
            </w:r>
            <w:hyperlink r:id="rId18" w:history="1">
              <w:r w:rsidRPr="00425EDF">
                <w:rPr>
                  <w:rStyle w:val="Hyperlink"/>
                  <w:rFonts w:cstheme="minorHAnsi"/>
                  <w:sz w:val="20"/>
                  <w:szCs w:val="20"/>
                </w:rPr>
                <w:t>Title 2, Part 200 of the Code of Federal Regulations here</w:t>
              </w:r>
            </w:hyperlink>
            <w:r w:rsidRPr="00425EDF">
              <w:rPr>
                <w:rFonts w:cstheme="minorHAnsi"/>
                <w:sz w:val="20"/>
                <w:szCs w:val="20"/>
              </w:rPr>
              <w:t xml:space="preserve">.  </w:t>
            </w:r>
          </w:p>
          <w:p w14:paraId="58E1FF8B" w14:textId="51B25211" w:rsidR="000D0A5B" w:rsidRPr="00160271" w:rsidRDefault="000D0A5B" w:rsidP="009F185C">
            <w:pPr>
              <w:rPr>
                <w:rFonts w:cstheme="minorHAnsi"/>
                <w:sz w:val="20"/>
                <w:szCs w:val="20"/>
              </w:rPr>
            </w:pPr>
          </w:p>
        </w:tc>
      </w:tr>
      <w:tr w:rsidR="000D0A5B" w:rsidRPr="00160271" w14:paraId="10D1FB25" w14:textId="77777777" w:rsidTr="40485134">
        <w:tc>
          <w:tcPr>
            <w:tcW w:w="419" w:type="dxa"/>
          </w:tcPr>
          <w:p w14:paraId="438EA47C" w14:textId="2C6F0AC3" w:rsidR="000D0A5B" w:rsidRPr="00160271" w:rsidRDefault="000D0A5B" w:rsidP="009F185C">
            <w:pPr>
              <w:rPr>
                <w:rFonts w:cstheme="minorHAnsi"/>
                <w:sz w:val="20"/>
                <w:szCs w:val="20"/>
              </w:rPr>
            </w:pPr>
            <w:r w:rsidRPr="00160271">
              <w:rPr>
                <w:rFonts w:cstheme="minorHAnsi"/>
                <w:sz w:val="20"/>
                <w:szCs w:val="20"/>
              </w:rPr>
              <w:t>1</w:t>
            </w:r>
            <w:r>
              <w:rPr>
                <w:rFonts w:cstheme="minorHAnsi"/>
                <w:sz w:val="20"/>
                <w:szCs w:val="20"/>
              </w:rPr>
              <w:t>1</w:t>
            </w:r>
          </w:p>
        </w:tc>
        <w:tc>
          <w:tcPr>
            <w:tcW w:w="1968" w:type="dxa"/>
          </w:tcPr>
          <w:p w14:paraId="52490056" w14:textId="70DCF900" w:rsidR="000D0A5B" w:rsidRPr="00160271" w:rsidRDefault="000D0A5B" w:rsidP="009F185C">
            <w:pPr>
              <w:rPr>
                <w:rFonts w:cstheme="minorHAnsi"/>
                <w:sz w:val="20"/>
                <w:szCs w:val="20"/>
              </w:rPr>
            </w:pPr>
            <w:r w:rsidRPr="00160271">
              <w:rPr>
                <w:rFonts w:cstheme="minorHAnsi"/>
                <w:sz w:val="20"/>
                <w:szCs w:val="20"/>
              </w:rPr>
              <w:t>What if an NEU has other questions about funding eligibility and allocations that are not answered here?</w:t>
            </w:r>
          </w:p>
        </w:tc>
        <w:tc>
          <w:tcPr>
            <w:tcW w:w="6968" w:type="dxa"/>
          </w:tcPr>
          <w:p w14:paraId="559ED488" w14:textId="0CEB3678" w:rsidR="000D0A5B" w:rsidRPr="00160271" w:rsidRDefault="000D0A5B" w:rsidP="009F185C">
            <w:pPr>
              <w:rPr>
                <w:rFonts w:cstheme="minorHAnsi"/>
                <w:sz w:val="20"/>
                <w:szCs w:val="20"/>
              </w:rPr>
            </w:pPr>
            <w:r w:rsidRPr="00160271">
              <w:rPr>
                <w:rFonts w:cstheme="minorHAnsi"/>
                <w:sz w:val="20"/>
                <w:szCs w:val="20"/>
              </w:rPr>
              <w:t xml:space="preserve">Treasury maintains a lengthy FAQ inventory of its own and periodically updates it with additional guidance and direction.  It is available online </w:t>
            </w:r>
            <w:hyperlink r:id="rId19" w:history="1">
              <w:r w:rsidRPr="00160271">
                <w:rPr>
                  <w:rStyle w:val="Hyperlink"/>
                  <w:rFonts w:cstheme="minorHAnsi"/>
                  <w:sz w:val="20"/>
                  <w:szCs w:val="20"/>
                </w:rPr>
                <w:t>here</w:t>
              </w:r>
            </w:hyperlink>
            <w:r w:rsidRPr="00160271">
              <w:rPr>
                <w:rFonts w:cstheme="minorHAnsi"/>
                <w:sz w:val="20"/>
                <w:szCs w:val="20"/>
              </w:rPr>
              <w:t xml:space="preserve"> (last updated June </w:t>
            </w:r>
            <w:r>
              <w:rPr>
                <w:rFonts w:cstheme="minorHAnsi"/>
                <w:sz w:val="20"/>
                <w:szCs w:val="20"/>
              </w:rPr>
              <w:t>10</w:t>
            </w:r>
            <w:r w:rsidRPr="00160271">
              <w:rPr>
                <w:rFonts w:cstheme="minorHAnsi"/>
                <w:sz w:val="20"/>
                <w:szCs w:val="20"/>
              </w:rPr>
              <w:t xml:space="preserve">, 2021).  </w:t>
            </w:r>
          </w:p>
        </w:tc>
      </w:tr>
    </w:tbl>
    <w:p w14:paraId="5B73196C" w14:textId="69A33274" w:rsidR="00226550" w:rsidRPr="00160271" w:rsidRDefault="00226550" w:rsidP="00077A03">
      <w:pPr>
        <w:spacing w:after="0"/>
        <w:rPr>
          <w:rFonts w:cstheme="minorHAnsi"/>
          <w:b/>
          <w:bCs/>
          <w:sz w:val="20"/>
          <w:szCs w:val="20"/>
        </w:rPr>
      </w:pPr>
    </w:p>
    <w:p w14:paraId="34D36D66" w14:textId="32855828" w:rsidR="00226550" w:rsidRPr="00160271" w:rsidRDefault="00226550" w:rsidP="00077A03">
      <w:pPr>
        <w:spacing w:after="0"/>
        <w:rPr>
          <w:rFonts w:cstheme="minorHAnsi"/>
          <w:b/>
          <w:bCs/>
          <w:sz w:val="20"/>
          <w:szCs w:val="20"/>
        </w:rPr>
      </w:pPr>
      <w:r w:rsidRPr="00160271">
        <w:rPr>
          <w:rFonts w:cstheme="minorHAnsi"/>
          <w:b/>
          <w:bCs/>
          <w:sz w:val="20"/>
          <w:szCs w:val="20"/>
        </w:rPr>
        <w:t>C</w:t>
      </w:r>
      <w:r w:rsidR="00641C22" w:rsidRPr="00160271">
        <w:rPr>
          <w:rFonts w:cstheme="minorHAnsi"/>
          <w:b/>
          <w:bCs/>
          <w:sz w:val="20"/>
          <w:szCs w:val="20"/>
        </w:rPr>
        <w:t xml:space="preserve">. </w:t>
      </w:r>
      <w:r w:rsidRPr="00160271">
        <w:rPr>
          <w:rFonts w:cstheme="minorHAnsi"/>
          <w:b/>
          <w:bCs/>
          <w:sz w:val="20"/>
          <w:szCs w:val="20"/>
        </w:rPr>
        <w:t>How NEUs may use Fiscal Recovery Funds</w:t>
      </w:r>
    </w:p>
    <w:tbl>
      <w:tblPr>
        <w:tblStyle w:val="TableGrid"/>
        <w:tblW w:w="9355" w:type="dxa"/>
        <w:tblLook w:val="04A0" w:firstRow="1" w:lastRow="0" w:firstColumn="1" w:lastColumn="0" w:noHBand="0" w:noVBand="1"/>
      </w:tblPr>
      <w:tblGrid>
        <w:gridCol w:w="355"/>
        <w:gridCol w:w="1980"/>
        <w:gridCol w:w="7020"/>
      </w:tblGrid>
      <w:tr w:rsidR="000D0A5B" w:rsidRPr="00160271" w14:paraId="1CFA874D" w14:textId="77777777" w:rsidTr="743E40D5">
        <w:tc>
          <w:tcPr>
            <w:tcW w:w="355" w:type="dxa"/>
          </w:tcPr>
          <w:p w14:paraId="00CA8868" w14:textId="77777777" w:rsidR="000D0A5B" w:rsidRPr="00160271" w:rsidRDefault="000D0A5B" w:rsidP="009F185C">
            <w:pPr>
              <w:rPr>
                <w:rFonts w:cstheme="minorHAnsi"/>
                <w:sz w:val="20"/>
                <w:szCs w:val="20"/>
              </w:rPr>
            </w:pPr>
            <w:r w:rsidRPr="00160271">
              <w:rPr>
                <w:rFonts w:cstheme="minorHAnsi"/>
                <w:b/>
                <w:bCs/>
                <w:sz w:val="20"/>
                <w:szCs w:val="20"/>
              </w:rPr>
              <w:t>#</w:t>
            </w:r>
          </w:p>
        </w:tc>
        <w:tc>
          <w:tcPr>
            <w:tcW w:w="1980" w:type="dxa"/>
          </w:tcPr>
          <w:p w14:paraId="74DF9D19" w14:textId="77777777" w:rsidR="000D0A5B" w:rsidRPr="00160271" w:rsidRDefault="000D0A5B" w:rsidP="009F185C">
            <w:pPr>
              <w:rPr>
                <w:rFonts w:cstheme="minorHAnsi"/>
                <w:sz w:val="20"/>
                <w:szCs w:val="20"/>
              </w:rPr>
            </w:pPr>
            <w:r w:rsidRPr="00160271">
              <w:rPr>
                <w:rFonts w:cstheme="minorHAnsi"/>
                <w:b/>
                <w:bCs/>
                <w:sz w:val="20"/>
                <w:szCs w:val="20"/>
              </w:rPr>
              <w:t>Question</w:t>
            </w:r>
          </w:p>
        </w:tc>
        <w:tc>
          <w:tcPr>
            <w:tcW w:w="7020" w:type="dxa"/>
          </w:tcPr>
          <w:p w14:paraId="419AC570" w14:textId="77777777" w:rsidR="000D0A5B" w:rsidRPr="00160271" w:rsidRDefault="000D0A5B" w:rsidP="009F185C">
            <w:pPr>
              <w:rPr>
                <w:rFonts w:cstheme="minorHAnsi"/>
                <w:sz w:val="20"/>
                <w:szCs w:val="20"/>
              </w:rPr>
            </w:pPr>
            <w:r w:rsidRPr="00160271">
              <w:rPr>
                <w:rFonts w:cstheme="minorHAnsi"/>
                <w:b/>
                <w:bCs/>
                <w:sz w:val="20"/>
                <w:szCs w:val="20"/>
              </w:rPr>
              <w:t>Answer</w:t>
            </w:r>
          </w:p>
        </w:tc>
      </w:tr>
      <w:tr w:rsidR="000D0A5B" w:rsidRPr="00160271" w14:paraId="08E93048" w14:textId="77777777" w:rsidTr="743E40D5">
        <w:tc>
          <w:tcPr>
            <w:tcW w:w="355" w:type="dxa"/>
          </w:tcPr>
          <w:p w14:paraId="23DEDF94" w14:textId="55B12987" w:rsidR="000D0A5B" w:rsidRPr="00160271" w:rsidRDefault="000D0A5B" w:rsidP="009F185C">
            <w:pPr>
              <w:rPr>
                <w:rFonts w:cstheme="minorHAnsi"/>
                <w:sz w:val="20"/>
                <w:szCs w:val="20"/>
              </w:rPr>
            </w:pPr>
            <w:r w:rsidRPr="00160271">
              <w:rPr>
                <w:rFonts w:cstheme="minorHAnsi"/>
                <w:sz w:val="20"/>
                <w:szCs w:val="20"/>
              </w:rPr>
              <w:t>1</w:t>
            </w:r>
          </w:p>
        </w:tc>
        <w:tc>
          <w:tcPr>
            <w:tcW w:w="1980" w:type="dxa"/>
          </w:tcPr>
          <w:p w14:paraId="3833FBB2" w14:textId="557563D3" w:rsidR="000D0A5B" w:rsidRPr="00160271" w:rsidRDefault="000D0A5B" w:rsidP="009F185C">
            <w:pPr>
              <w:rPr>
                <w:rFonts w:cstheme="minorHAnsi"/>
                <w:sz w:val="20"/>
                <w:szCs w:val="20"/>
              </w:rPr>
            </w:pPr>
            <w:r w:rsidRPr="00160271">
              <w:rPr>
                <w:rFonts w:cstheme="minorHAnsi"/>
                <w:sz w:val="20"/>
                <w:szCs w:val="20"/>
              </w:rPr>
              <w:t>How may a</w:t>
            </w:r>
            <w:r>
              <w:rPr>
                <w:rFonts w:cstheme="minorHAnsi"/>
                <w:sz w:val="20"/>
                <w:szCs w:val="20"/>
              </w:rPr>
              <w:t>n</w:t>
            </w:r>
            <w:r w:rsidRPr="00160271">
              <w:rPr>
                <w:rFonts w:cstheme="minorHAnsi"/>
                <w:sz w:val="20"/>
                <w:szCs w:val="20"/>
              </w:rPr>
              <w:t xml:space="preserve"> NEU use these funds? </w:t>
            </w:r>
          </w:p>
        </w:tc>
        <w:tc>
          <w:tcPr>
            <w:tcW w:w="7020" w:type="dxa"/>
          </w:tcPr>
          <w:p w14:paraId="69BB4845" w14:textId="0EBE8CEF" w:rsidR="000D0A5B" w:rsidRDefault="000D0A5B" w:rsidP="009845F7">
            <w:pPr>
              <w:rPr>
                <w:rFonts w:cstheme="minorHAnsi"/>
                <w:sz w:val="20"/>
                <w:szCs w:val="20"/>
              </w:rPr>
            </w:pPr>
            <w:r w:rsidRPr="00160271">
              <w:rPr>
                <w:rFonts w:cstheme="minorHAnsi"/>
                <w:sz w:val="20"/>
                <w:szCs w:val="20"/>
              </w:rPr>
              <w:t xml:space="preserve">Per </w:t>
            </w:r>
            <w:hyperlink r:id="rId20" w:history="1">
              <w:r w:rsidRPr="00160271">
                <w:rPr>
                  <w:rStyle w:val="Hyperlink"/>
                  <w:rFonts w:cstheme="minorHAnsi"/>
                  <w:sz w:val="20"/>
                  <w:szCs w:val="20"/>
                </w:rPr>
                <w:t xml:space="preserve">Treasury’s June </w:t>
              </w:r>
              <w:r>
                <w:rPr>
                  <w:rStyle w:val="Hyperlink"/>
                  <w:rFonts w:cstheme="minorHAnsi"/>
                  <w:sz w:val="20"/>
                  <w:szCs w:val="20"/>
                </w:rPr>
                <w:t>10</w:t>
              </w:r>
              <w:r w:rsidRPr="00160271">
                <w:rPr>
                  <w:rStyle w:val="Hyperlink"/>
                  <w:rFonts w:cstheme="minorHAnsi"/>
                  <w:sz w:val="20"/>
                  <w:szCs w:val="20"/>
                </w:rPr>
                <w:t>th FAQs</w:t>
              </w:r>
            </w:hyperlink>
            <w:r w:rsidRPr="00160271">
              <w:rPr>
                <w:rFonts w:cstheme="minorHAnsi"/>
                <w:sz w:val="20"/>
                <w:szCs w:val="20"/>
              </w:rPr>
              <w:t>, eligible uses for the funds fall into four general categories:</w:t>
            </w:r>
          </w:p>
          <w:p w14:paraId="3F31568F" w14:textId="77777777" w:rsidR="006669B7" w:rsidRPr="00160271" w:rsidRDefault="006669B7" w:rsidP="009845F7">
            <w:pPr>
              <w:rPr>
                <w:rFonts w:cstheme="minorHAnsi"/>
                <w:sz w:val="20"/>
                <w:szCs w:val="20"/>
              </w:rPr>
            </w:pPr>
          </w:p>
          <w:p w14:paraId="6878B4B5" w14:textId="77777777" w:rsidR="000D0A5B" w:rsidRPr="00160271" w:rsidRDefault="000D0A5B" w:rsidP="009845F7">
            <w:pPr>
              <w:pStyle w:val="ListParagraph"/>
              <w:numPr>
                <w:ilvl w:val="0"/>
                <w:numId w:val="9"/>
              </w:numPr>
              <w:rPr>
                <w:rFonts w:cstheme="minorHAnsi"/>
                <w:i/>
                <w:iCs/>
                <w:sz w:val="20"/>
                <w:szCs w:val="20"/>
              </w:rPr>
            </w:pPr>
            <w:r w:rsidRPr="00160271">
              <w:rPr>
                <w:rFonts w:cstheme="minorHAnsi"/>
                <w:i/>
                <w:iCs/>
                <w:sz w:val="20"/>
                <w:szCs w:val="20"/>
              </w:rPr>
              <w:t xml:space="preserve">To respond to the public health emergency or its negative economic impacts, including assistance to households, small businesses, and nonprofits, or aid to impacted industries such as tourism, travel, and </w:t>
            </w:r>
            <w:proofErr w:type="gramStart"/>
            <w:r w:rsidRPr="00160271">
              <w:rPr>
                <w:rFonts w:cstheme="minorHAnsi"/>
                <w:i/>
                <w:iCs/>
                <w:sz w:val="20"/>
                <w:szCs w:val="20"/>
              </w:rPr>
              <w:t>hospitality;</w:t>
            </w:r>
            <w:proofErr w:type="gramEnd"/>
            <w:r w:rsidRPr="00160271">
              <w:rPr>
                <w:rFonts w:cstheme="minorHAnsi"/>
                <w:i/>
                <w:iCs/>
                <w:sz w:val="20"/>
                <w:szCs w:val="20"/>
              </w:rPr>
              <w:t xml:space="preserve"> </w:t>
            </w:r>
          </w:p>
          <w:p w14:paraId="5A1FA12B" w14:textId="1EAF553E" w:rsidR="000D0A5B" w:rsidRPr="00160271" w:rsidRDefault="000D0A5B" w:rsidP="009845F7">
            <w:pPr>
              <w:pStyle w:val="ListParagraph"/>
              <w:numPr>
                <w:ilvl w:val="0"/>
                <w:numId w:val="9"/>
              </w:numPr>
              <w:rPr>
                <w:rFonts w:cstheme="minorHAnsi"/>
                <w:i/>
                <w:iCs/>
                <w:sz w:val="20"/>
                <w:szCs w:val="20"/>
              </w:rPr>
            </w:pPr>
            <w:r w:rsidRPr="00160271">
              <w:rPr>
                <w:rFonts w:cstheme="minorHAnsi"/>
                <w:i/>
                <w:iCs/>
                <w:sz w:val="20"/>
                <w:szCs w:val="20"/>
              </w:rPr>
              <w:t xml:space="preserve">To respond to workers performing essential work during the COVID-19 public health emergency by providing premium pay to eligible </w:t>
            </w:r>
            <w:proofErr w:type="gramStart"/>
            <w:r w:rsidRPr="00160271">
              <w:rPr>
                <w:rFonts w:cstheme="minorHAnsi"/>
                <w:i/>
                <w:iCs/>
                <w:sz w:val="20"/>
                <w:szCs w:val="20"/>
              </w:rPr>
              <w:t>workers;</w:t>
            </w:r>
            <w:proofErr w:type="gramEnd"/>
            <w:r w:rsidRPr="00160271">
              <w:rPr>
                <w:rFonts w:cstheme="minorHAnsi"/>
                <w:i/>
                <w:iCs/>
                <w:sz w:val="20"/>
                <w:szCs w:val="20"/>
              </w:rPr>
              <w:t xml:space="preserve"> </w:t>
            </w:r>
          </w:p>
          <w:p w14:paraId="0EA0F2BE" w14:textId="05536F85" w:rsidR="000D0A5B" w:rsidRPr="00160271" w:rsidRDefault="000D0A5B" w:rsidP="009845F7">
            <w:pPr>
              <w:pStyle w:val="ListParagraph"/>
              <w:numPr>
                <w:ilvl w:val="0"/>
                <w:numId w:val="9"/>
              </w:numPr>
              <w:rPr>
                <w:rFonts w:cstheme="minorHAnsi"/>
                <w:i/>
                <w:iCs/>
                <w:sz w:val="20"/>
                <w:szCs w:val="20"/>
              </w:rPr>
            </w:pPr>
            <w:r w:rsidRPr="00160271">
              <w:rPr>
                <w:rFonts w:cstheme="minorHAnsi"/>
                <w:i/>
                <w:iCs/>
                <w:sz w:val="20"/>
                <w:szCs w:val="20"/>
              </w:rPr>
              <w:t xml:space="preserve">For the provision of government services to the extent of the reduction in revenue due to the COVID–19 public health emergency relative to revenues collected in the most recent full fiscal year prior to the emergency; and </w:t>
            </w:r>
          </w:p>
          <w:p w14:paraId="3D4BA7B7" w14:textId="1A717C69" w:rsidR="000D0A5B" w:rsidRPr="00160271" w:rsidRDefault="000D0A5B" w:rsidP="009F185C">
            <w:pPr>
              <w:pStyle w:val="ListParagraph"/>
              <w:numPr>
                <w:ilvl w:val="0"/>
                <w:numId w:val="9"/>
              </w:numPr>
              <w:rPr>
                <w:rFonts w:cstheme="minorHAnsi"/>
                <w:sz w:val="20"/>
                <w:szCs w:val="20"/>
              </w:rPr>
            </w:pPr>
            <w:r w:rsidRPr="00160271">
              <w:rPr>
                <w:rFonts w:cstheme="minorHAnsi"/>
                <w:i/>
                <w:iCs/>
                <w:sz w:val="20"/>
                <w:szCs w:val="20"/>
              </w:rPr>
              <w:t>To make necessary investments in water, sewer, or broadband infrastructure.</w:t>
            </w:r>
          </w:p>
        </w:tc>
      </w:tr>
      <w:tr w:rsidR="000D0A5B" w:rsidRPr="00160271" w14:paraId="3630AF21" w14:textId="77777777" w:rsidTr="743E40D5">
        <w:tc>
          <w:tcPr>
            <w:tcW w:w="355" w:type="dxa"/>
          </w:tcPr>
          <w:p w14:paraId="5225625F" w14:textId="61949F0B" w:rsidR="000D0A5B" w:rsidRPr="00160271" w:rsidRDefault="000D0A5B" w:rsidP="009F185C">
            <w:pPr>
              <w:rPr>
                <w:rFonts w:cstheme="minorHAnsi"/>
                <w:sz w:val="20"/>
                <w:szCs w:val="20"/>
              </w:rPr>
            </w:pPr>
            <w:r w:rsidRPr="00160271">
              <w:rPr>
                <w:rFonts w:cstheme="minorHAnsi"/>
                <w:sz w:val="20"/>
                <w:szCs w:val="20"/>
              </w:rPr>
              <w:t>2</w:t>
            </w:r>
          </w:p>
        </w:tc>
        <w:tc>
          <w:tcPr>
            <w:tcW w:w="1980" w:type="dxa"/>
          </w:tcPr>
          <w:p w14:paraId="7F3BC8B3" w14:textId="360761D1" w:rsidR="000D0A5B" w:rsidRPr="00160271" w:rsidRDefault="000D0A5B" w:rsidP="009F185C">
            <w:pPr>
              <w:rPr>
                <w:rFonts w:cstheme="minorHAnsi"/>
                <w:sz w:val="20"/>
                <w:szCs w:val="20"/>
              </w:rPr>
            </w:pPr>
            <w:r w:rsidRPr="00160271">
              <w:rPr>
                <w:rFonts w:cstheme="minorHAnsi"/>
                <w:sz w:val="20"/>
                <w:szCs w:val="20"/>
              </w:rPr>
              <w:t xml:space="preserve">How may an NEU use these funds in the context of pandemic response? </w:t>
            </w:r>
          </w:p>
        </w:tc>
        <w:tc>
          <w:tcPr>
            <w:tcW w:w="7020" w:type="dxa"/>
          </w:tcPr>
          <w:p w14:paraId="2397208D" w14:textId="7ED55498" w:rsidR="000D0A5B" w:rsidRPr="00160271" w:rsidRDefault="000D0A5B" w:rsidP="009F185C">
            <w:pPr>
              <w:rPr>
                <w:rFonts w:cstheme="minorHAnsi"/>
                <w:sz w:val="20"/>
                <w:szCs w:val="20"/>
              </w:rPr>
            </w:pPr>
            <w:r w:rsidRPr="00160271">
              <w:rPr>
                <w:rFonts w:cstheme="minorHAnsi"/>
                <w:sz w:val="20"/>
                <w:szCs w:val="20"/>
              </w:rPr>
              <w:t xml:space="preserve">Treasury identifies a broad list of services related to COVID-19 response, mitigation and prevention for which an NEU may use these funds.  Per </w:t>
            </w:r>
            <w:hyperlink r:id="rId21" w:history="1">
              <w:r w:rsidRPr="00160271">
                <w:rPr>
                  <w:rStyle w:val="Hyperlink"/>
                  <w:rFonts w:cstheme="minorHAnsi"/>
                  <w:sz w:val="20"/>
                  <w:szCs w:val="20"/>
                </w:rPr>
                <w:t xml:space="preserve">Treasury’s June </w:t>
              </w:r>
              <w:r>
                <w:rPr>
                  <w:rStyle w:val="Hyperlink"/>
                  <w:rFonts w:cstheme="minorHAnsi"/>
                  <w:sz w:val="20"/>
                  <w:szCs w:val="20"/>
                </w:rPr>
                <w:t>10</w:t>
              </w:r>
              <w:r w:rsidRPr="00160271">
                <w:rPr>
                  <w:rStyle w:val="Hyperlink"/>
                  <w:rFonts w:cstheme="minorHAnsi"/>
                  <w:sz w:val="20"/>
                  <w:szCs w:val="20"/>
                </w:rPr>
                <w:t>th FAQs</w:t>
              </w:r>
            </w:hyperlink>
            <w:r w:rsidRPr="00160271">
              <w:rPr>
                <w:rFonts w:cstheme="minorHAnsi"/>
                <w:sz w:val="20"/>
                <w:szCs w:val="20"/>
              </w:rPr>
              <w:t>, these include:</w:t>
            </w:r>
          </w:p>
          <w:p w14:paraId="008023D3" w14:textId="77777777" w:rsidR="000D0A5B" w:rsidRPr="00160271" w:rsidRDefault="000D0A5B" w:rsidP="009F185C">
            <w:pPr>
              <w:rPr>
                <w:rFonts w:cstheme="minorHAnsi"/>
                <w:sz w:val="20"/>
                <w:szCs w:val="20"/>
              </w:rPr>
            </w:pPr>
            <w:r w:rsidRPr="00160271">
              <w:rPr>
                <w:rFonts w:cstheme="minorHAnsi"/>
                <w:sz w:val="20"/>
                <w:szCs w:val="20"/>
              </w:rPr>
              <w:t xml:space="preserve"> </w:t>
            </w:r>
          </w:p>
          <w:p w14:paraId="36666165" w14:textId="6FD604B9" w:rsidR="000D0A5B" w:rsidRPr="00160271" w:rsidRDefault="000D0A5B" w:rsidP="009F185C">
            <w:pPr>
              <w:rPr>
                <w:rFonts w:cstheme="minorHAnsi"/>
                <w:i/>
                <w:iCs/>
                <w:sz w:val="20"/>
                <w:szCs w:val="20"/>
              </w:rPr>
            </w:pPr>
            <w:r w:rsidRPr="00160271">
              <w:rPr>
                <w:rFonts w:cstheme="minorHAnsi"/>
                <w:i/>
                <w:iCs/>
                <w:sz w:val="20"/>
                <w:szCs w:val="20"/>
              </w:rPr>
              <w:t xml:space="preserve">“vaccination programs; medical care; testing; contact tracing; support for isolation or quarantine; supports for vulnerable populations to access medical or public health services; public health surveillance (e.g., monitoring case trends, genomic sequencing for variants); enforcement of public health orders; public communication efforts; enhancement to health care capacity, including through alternative care facilities; purchases of personal protective equipment; support for prevention, mitigation, or other services in congregate living facilities (e.g., nursing homes, incarceration settings, homeless shelters, group living facilities) and other key settings like schools; ventilation improvements in congregate settings, health </w:t>
            </w:r>
            <w:r w:rsidRPr="00160271">
              <w:rPr>
                <w:rFonts w:cstheme="minorHAnsi"/>
                <w:i/>
                <w:iCs/>
                <w:sz w:val="20"/>
                <w:szCs w:val="20"/>
              </w:rPr>
              <w:lastRenderedPageBreak/>
              <w:t>care settings, or other key locations; enhancement of public health data systems; and other public health responses.”</w:t>
            </w:r>
          </w:p>
          <w:p w14:paraId="42AAF682" w14:textId="77777777" w:rsidR="000D0A5B" w:rsidRPr="00160271" w:rsidRDefault="000D0A5B" w:rsidP="009F185C">
            <w:pPr>
              <w:rPr>
                <w:rFonts w:cstheme="minorHAnsi"/>
                <w:sz w:val="20"/>
                <w:szCs w:val="20"/>
              </w:rPr>
            </w:pPr>
          </w:p>
          <w:p w14:paraId="5E4643D4" w14:textId="0D3DF910" w:rsidR="000D0A5B" w:rsidRPr="00160271" w:rsidRDefault="000D0A5B" w:rsidP="009F185C">
            <w:pPr>
              <w:rPr>
                <w:rFonts w:cstheme="minorHAnsi"/>
                <w:sz w:val="20"/>
                <w:szCs w:val="20"/>
              </w:rPr>
            </w:pPr>
            <w:r w:rsidRPr="00160271">
              <w:rPr>
                <w:rFonts w:cstheme="minorHAnsi"/>
                <w:sz w:val="20"/>
                <w:szCs w:val="20"/>
              </w:rPr>
              <w:t xml:space="preserve">Note: NEUs may also use these funds for certain capital investments.  Also per </w:t>
            </w:r>
            <w:hyperlink r:id="rId22" w:history="1">
              <w:r w:rsidRPr="00160271">
                <w:rPr>
                  <w:rStyle w:val="Hyperlink"/>
                  <w:rFonts w:cstheme="minorHAnsi"/>
                  <w:sz w:val="20"/>
                  <w:szCs w:val="20"/>
                </w:rPr>
                <w:t xml:space="preserve">Treasury’s </w:t>
              </w:r>
              <w:r>
                <w:rPr>
                  <w:rStyle w:val="Hyperlink"/>
                  <w:rFonts w:cstheme="minorHAnsi"/>
                  <w:sz w:val="20"/>
                  <w:szCs w:val="20"/>
                </w:rPr>
                <w:t>June 10</w:t>
              </w:r>
              <w:r w:rsidRPr="00160271">
                <w:rPr>
                  <w:rStyle w:val="Hyperlink"/>
                  <w:rFonts w:cstheme="minorHAnsi"/>
                  <w:sz w:val="20"/>
                  <w:szCs w:val="20"/>
                </w:rPr>
                <w:t>th FAQs</w:t>
              </w:r>
            </w:hyperlink>
            <w:r w:rsidRPr="00160271">
              <w:rPr>
                <w:rFonts w:cstheme="minorHAnsi"/>
                <w:sz w:val="20"/>
                <w:szCs w:val="20"/>
              </w:rPr>
              <w:t xml:space="preserve">: </w:t>
            </w:r>
          </w:p>
          <w:p w14:paraId="640F5618" w14:textId="77777777" w:rsidR="000D0A5B" w:rsidRPr="00160271" w:rsidRDefault="000D0A5B" w:rsidP="009F185C">
            <w:pPr>
              <w:rPr>
                <w:rFonts w:cstheme="minorHAnsi"/>
                <w:sz w:val="20"/>
                <w:szCs w:val="20"/>
              </w:rPr>
            </w:pPr>
          </w:p>
          <w:p w14:paraId="545BD747" w14:textId="3F92212B" w:rsidR="000D0A5B" w:rsidRPr="00160271" w:rsidRDefault="000D0A5B" w:rsidP="009F185C">
            <w:pPr>
              <w:rPr>
                <w:rFonts w:cstheme="minorHAnsi"/>
                <w:i/>
                <w:iCs/>
                <w:sz w:val="20"/>
                <w:szCs w:val="20"/>
              </w:rPr>
            </w:pPr>
            <w:r w:rsidRPr="00160271">
              <w:rPr>
                <w:rFonts w:cstheme="minorHAnsi"/>
                <w:i/>
                <w:iCs/>
                <w:sz w:val="20"/>
                <w:szCs w:val="20"/>
              </w:rPr>
              <w:t>“Capital investments in public facilities to meet pandemic operational needs are also eligible, such as physical plant improvements to public hospitals and health clinics or adaptations to public buildings to implement COVID-19 mitigation tactics.”</w:t>
            </w:r>
          </w:p>
          <w:p w14:paraId="62DE6757" w14:textId="77777777" w:rsidR="000D0A5B" w:rsidRPr="00160271" w:rsidRDefault="000D0A5B" w:rsidP="009F185C">
            <w:pPr>
              <w:rPr>
                <w:rFonts w:cstheme="minorHAnsi"/>
                <w:sz w:val="20"/>
                <w:szCs w:val="20"/>
              </w:rPr>
            </w:pPr>
          </w:p>
          <w:p w14:paraId="338F7456" w14:textId="5C08DE04" w:rsidR="000D0A5B" w:rsidRPr="00160271" w:rsidRDefault="000D0A5B" w:rsidP="009F185C">
            <w:pPr>
              <w:rPr>
                <w:rFonts w:cstheme="minorHAnsi"/>
                <w:sz w:val="20"/>
                <w:szCs w:val="20"/>
              </w:rPr>
            </w:pPr>
            <w:r w:rsidRPr="00160271">
              <w:rPr>
                <w:rFonts w:cstheme="minorHAnsi"/>
                <w:sz w:val="20"/>
                <w:szCs w:val="20"/>
              </w:rPr>
              <w:t xml:space="preserve">Also note: The list above is non-exclusive, and Treasury’s explicit intention is to provide NEUs with flexibility in how funds are used.  </w:t>
            </w:r>
          </w:p>
        </w:tc>
      </w:tr>
      <w:tr w:rsidR="000D0A5B" w:rsidRPr="00160271" w14:paraId="6DAF1979" w14:textId="77777777" w:rsidTr="743E40D5">
        <w:tc>
          <w:tcPr>
            <w:tcW w:w="355" w:type="dxa"/>
          </w:tcPr>
          <w:p w14:paraId="04BB52FE" w14:textId="17ECBAC4" w:rsidR="000D0A5B" w:rsidRPr="00160271" w:rsidRDefault="000D0A5B" w:rsidP="009F185C">
            <w:pPr>
              <w:rPr>
                <w:rFonts w:cstheme="minorHAnsi"/>
                <w:sz w:val="20"/>
                <w:szCs w:val="20"/>
              </w:rPr>
            </w:pPr>
            <w:r w:rsidRPr="00160271">
              <w:rPr>
                <w:rFonts w:cstheme="minorHAnsi"/>
                <w:sz w:val="20"/>
                <w:szCs w:val="20"/>
              </w:rPr>
              <w:lastRenderedPageBreak/>
              <w:t>3</w:t>
            </w:r>
          </w:p>
        </w:tc>
        <w:tc>
          <w:tcPr>
            <w:tcW w:w="1980" w:type="dxa"/>
          </w:tcPr>
          <w:p w14:paraId="216B9120" w14:textId="471809C0" w:rsidR="000D0A5B" w:rsidRPr="00160271" w:rsidRDefault="000D0A5B" w:rsidP="009F185C">
            <w:pPr>
              <w:rPr>
                <w:rFonts w:cstheme="minorHAnsi"/>
                <w:sz w:val="20"/>
                <w:szCs w:val="20"/>
              </w:rPr>
            </w:pPr>
            <w:r w:rsidRPr="00160271">
              <w:rPr>
                <w:rFonts w:cstheme="minorHAnsi"/>
                <w:sz w:val="20"/>
                <w:szCs w:val="20"/>
              </w:rPr>
              <w:t xml:space="preserve">How may an NEU use these funds in the context of supporting economic stabilization?  </w:t>
            </w:r>
          </w:p>
        </w:tc>
        <w:tc>
          <w:tcPr>
            <w:tcW w:w="7020" w:type="dxa"/>
          </w:tcPr>
          <w:p w14:paraId="38ECCD58" w14:textId="1DFD9992" w:rsidR="000D0A5B" w:rsidRDefault="000D0A5B" w:rsidP="009F185C">
            <w:pPr>
              <w:rPr>
                <w:rFonts w:cstheme="minorHAnsi"/>
                <w:sz w:val="20"/>
                <w:szCs w:val="20"/>
              </w:rPr>
            </w:pPr>
            <w:r w:rsidRPr="00160271">
              <w:rPr>
                <w:rFonts w:cstheme="minorHAnsi"/>
                <w:sz w:val="20"/>
                <w:szCs w:val="20"/>
              </w:rPr>
              <w:t xml:space="preserve">Treasury identifies a broad list of services related to households and businesses for which an NEU may use these funds. Per </w:t>
            </w:r>
            <w:hyperlink r:id="rId23" w:history="1">
              <w:r w:rsidRPr="00160271">
                <w:rPr>
                  <w:rStyle w:val="Hyperlink"/>
                  <w:rFonts w:cstheme="minorHAnsi"/>
                  <w:sz w:val="20"/>
                  <w:szCs w:val="20"/>
                </w:rPr>
                <w:t xml:space="preserve">Treasury’s </w:t>
              </w:r>
              <w:r>
                <w:rPr>
                  <w:rStyle w:val="Hyperlink"/>
                  <w:rFonts w:cstheme="minorHAnsi"/>
                  <w:sz w:val="20"/>
                  <w:szCs w:val="20"/>
                </w:rPr>
                <w:t>June 10</w:t>
              </w:r>
              <w:r w:rsidRPr="00160271">
                <w:rPr>
                  <w:rStyle w:val="Hyperlink"/>
                  <w:rFonts w:cstheme="minorHAnsi"/>
                  <w:sz w:val="20"/>
                  <w:szCs w:val="20"/>
                </w:rPr>
                <w:t>th FAQs</w:t>
              </w:r>
            </w:hyperlink>
            <w:r w:rsidRPr="00160271">
              <w:rPr>
                <w:rFonts w:cstheme="minorHAnsi"/>
                <w:sz w:val="20"/>
                <w:szCs w:val="20"/>
              </w:rPr>
              <w:t xml:space="preserve">, these include: </w:t>
            </w:r>
          </w:p>
          <w:p w14:paraId="7A26CFB2" w14:textId="77777777" w:rsidR="000D0A5B" w:rsidRPr="00160271" w:rsidRDefault="000D0A5B" w:rsidP="009F185C">
            <w:pPr>
              <w:rPr>
                <w:rFonts w:cstheme="minorHAnsi"/>
                <w:sz w:val="20"/>
                <w:szCs w:val="20"/>
              </w:rPr>
            </w:pPr>
          </w:p>
          <w:p w14:paraId="191FE343" w14:textId="01A8846C" w:rsidR="000D0A5B" w:rsidRPr="00160271" w:rsidRDefault="000D0A5B" w:rsidP="009F185C">
            <w:pPr>
              <w:rPr>
                <w:rFonts w:cstheme="minorHAnsi"/>
                <w:i/>
                <w:iCs/>
                <w:sz w:val="20"/>
                <w:szCs w:val="20"/>
              </w:rPr>
            </w:pPr>
            <w:r w:rsidRPr="00160271">
              <w:rPr>
                <w:rFonts w:cstheme="minorHAnsi"/>
                <w:i/>
                <w:iCs/>
                <w:sz w:val="20"/>
                <w:szCs w:val="20"/>
              </w:rPr>
              <w:t xml:space="preserve">“assistance to households; small businesses and nonprofits; and aid to impacted industries. </w:t>
            </w:r>
          </w:p>
          <w:p w14:paraId="73343212" w14:textId="77777777" w:rsidR="000D0A5B" w:rsidRPr="00160271" w:rsidRDefault="000D0A5B" w:rsidP="009F185C">
            <w:pPr>
              <w:rPr>
                <w:rFonts w:cstheme="minorHAnsi"/>
                <w:i/>
                <w:iCs/>
                <w:sz w:val="20"/>
                <w:szCs w:val="20"/>
              </w:rPr>
            </w:pPr>
          </w:p>
          <w:p w14:paraId="3879C965" w14:textId="775E2EBE" w:rsidR="000D0A5B" w:rsidRPr="00160271" w:rsidRDefault="000D0A5B" w:rsidP="009F185C">
            <w:pPr>
              <w:rPr>
                <w:rFonts w:cstheme="minorHAnsi"/>
                <w:i/>
                <w:iCs/>
                <w:sz w:val="20"/>
                <w:szCs w:val="20"/>
              </w:rPr>
            </w:pPr>
            <w:r w:rsidRPr="00160271">
              <w:rPr>
                <w:rFonts w:cstheme="minorHAnsi"/>
                <w:i/>
                <w:iCs/>
                <w:sz w:val="20"/>
                <w:szCs w:val="20"/>
              </w:rPr>
              <w:t xml:space="preserve">Assistance to households includes, but is not limited to: food assistance; rent, mortgage, or utility assistance; counseling and legal aid to prevent eviction or homelessness; cash assistance; emergency assistance for burials, home repairs, weatherization, or other needs; internet access or digital literacy assistance; or job training to address negative economic or public health impacts experienced due to a worker’s occupation or level of training. Assistance to small business and non-profits includes, but is not limited to: </w:t>
            </w:r>
          </w:p>
          <w:p w14:paraId="04952918" w14:textId="304630A1" w:rsidR="000D0A5B" w:rsidRPr="00160271" w:rsidRDefault="000D0A5B" w:rsidP="000A533C">
            <w:pPr>
              <w:pStyle w:val="ListParagraph"/>
              <w:numPr>
                <w:ilvl w:val="0"/>
                <w:numId w:val="6"/>
              </w:numPr>
              <w:ind w:left="360"/>
              <w:rPr>
                <w:rFonts w:cstheme="minorHAnsi"/>
                <w:i/>
                <w:iCs/>
                <w:sz w:val="20"/>
                <w:szCs w:val="20"/>
              </w:rPr>
            </w:pPr>
            <w:r w:rsidRPr="00160271">
              <w:rPr>
                <w:rFonts w:cstheme="minorHAnsi"/>
                <w:i/>
                <w:iCs/>
                <w:sz w:val="20"/>
                <w:szCs w:val="20"/>
              </w:rPr>
              <w:t xml:space="preserve">loans or grants to mitigate financial hardship such as declines in revenues or impacts of periods of business closure, for example by supporting payroll and benefits costs, costs to retain employees, mortgage, rent, or utilities costs, and other operating </w:t>
            </w:r>
            <w:proofErr w:type="gramStart"/>
            <w:r w:rsidRPr="00160271">
              <w:rPr>
                <w:rFonts w:cstheme="minorHAnsi"/>
                <w:i/>
                <w:iCs/>
                <w:sz w:val="20"/>
                <w:szCs w:val="20"/>
              </w:rPr>
              <w:t>costs;</w:t>
            </w:r>
            <w:proofErr w:type="gramEnd"/>
            <w:r w:rsidRPr="00160271">
              <w:rPr>
                <w:rFonts w:cstheme="minorHAnsi"/>
                <w:i/>
                <w:iCs/>
                <w:sz w:val="20"/>
                <w:szCs w:val="20"/>
              </w:rPr>
              <w:t xml:space="preserve"> </w:t>
            </w:r>
          </w:p>
          <w:p w14:paraId="1CD85234" w14:textId="3AF02E47" w:rsidR="000D0A5B" w:rsidRPr="00160271" w:rsidRDefault="000D0A5B" w:rsidP="000A533C">
            <w:pPr>
              <w:pStyle w:val="ListParagraph"/>
              <w:numPr>
                <w:ilvl w:val="0"/>
                <w:numId w:val="6"/>
              </w:numPr>
              <w:ind w:left="360"/>
              <w:rPr>
                <w:rFonts w:cstheme="minorHAnsi"/>
                <w:i/>
                <w:iCs/>
                <w:sz w:val="20"/>
                <w:szCs w:val="20"/>
              </w:rPr>
            </w:pPr>
            <w:r w:rsidRPr="00160271">
              <w:rPr>
                <w:rFonts w:cstheme="minorHAnsi"/>
                <w:i/>
                <w:iCs/>
                <w:sz w:val="20"/>
                <w:szCs w:val="20"/>
              </w:rPr>
              <w:t xml:space="preserve">Loans, grants, or in-kind assistance to implement COVID-19 prevention or mitigation tactics, such as physical plant changes to enable social distancing, enhanced cleaning efforts, barriers or partitions, or COVID-19 vaccination, testing, or contact tracing programs; and </w:t>
            </w:r>
          </w:p>
          <w:p w14:paraId="36AB2A9A" w14:textId="4E0B93D2" w:rsidR="000D0A5B" w:rsidRPr="00160271" w:rsidRDefault="000D0A5B" w:rsidP="743E40D5">
            <w:pPr>
              <w:pStyle w:val="ListParagraph"/>
              <w:numPr>
                <w:ilvl w:val="0"/>
                <w:numId w:val="5"/>
              </w:numPr>
              <w:ind w:left="360"/>
              <w:rPr>
                <w:sz w:val="20"/>
                <w:szCs w:val="20"/>
              </w:rPr>
            </w:pPr>
            <w:r w:rsidRPr="743E40D5">
              <w:rPr>
                <w:i/>
                <w:iCs/>
                <w:sz w:val="20"/>
                <w:szCs w:val="20"/>
              </w:rPr>
              <w:t>Technical assistance, counseling, or other services to assist with business planning needs”</w:t>
            </w:r>
          </w:p>
        </w:tc>
      </w:tr>
      <w:tr w:rsidR="000D0A5B" w:rsidRPr="00160271" w14:paraId="70A3B8F7" w14:textId="77777777" w:rsidTr="743E40D5">
        <w:tc>
          <w:tcPr>
            <w:tcW w:w="355" w:type="dxa"/>
          </w:tcPr>
          <w:p w14:paraId="7171240D" w14:textId="3B159348" w:rsidR="000D0A5B" w:rsidRPr="00160271" w:rsidRDefault="000D0A5B" w:rsidP="009F185C">
            <w:pPr>
              <w:rPr>
                <w:rFonts w:cstheme="minorHAnsi"/>
                <w:sz w:val="20"/>
                <w:szCs w:val="20"/>
              </w:rPr>
            </w:pPr>
            <w:r w:rsidRPr="00160271">
              <w:rPr>
                <w:rFonts w:cstheme="minorHAnsi"/>
                <w:sz w:val="20"/>
                <w:szCs w:val="20"/>
              </w:rPr>
              <w:t>4</w:t>
            </w:r>
          </w:p>
        </w:tc>
        <w:tc>
          <w:tcPr>
            <w:tcW w:w="1980" w:type="dxa"/>
          </w:tcPr>
          <w:p w14:paraId="1C80F28C" w14:textId="5732F503" w:rsidR="000D0A5B" w:rsidRPr="00160271" w:rsidRDefault="000D0A5B" w:rsidP="009F185C">
            <w:pPr>
              <w:rPr>
                <w:rFonts w:cstheme="minorHAnsi"/>
                <w:sz w:val="20"/>
                <w:szCs w:val="20"/>
              </w:rPr>
            </w:pPr>
            <w:r w:rsidRPr="00160271">
              <w:rPr>
                <w:rFonts w:cstheme="minorHAnsi"/>
                <w:sz w:val="20"/>
                <w:szCs w:val="20"/>
              </w:rPr>
              <w:t xml:space="preserve">How may an NEU use these funds in the context of addressing the disparate impacts of the pandemic?  </w:t>
            </w:r>
          </w:p>
        </w:tc>
        <w:tc>
          <w:tcPr>
            <w:tcW w:w="7020" w:type="dxa"/>
          </w:tcPr>
          <w:p w14:paraId="309DFEDE" w14:textId="71C08E74" w:rsidR="000D0A5B" w:rsidRPr="00160271" w:rsidRDefault="000D0A5B" w:rsidP="00D72579">
            <w:pPr>
              <w:rPr>
                <w:rFonts w:cstheme="minorHAnsi"/>
                <w:sz w:val="20"/>
                <w:szCs w:val="20"/>
              </w:rPr>
            </w:pPr>
            <w:r w:rsidRPr="00160271">
              <w:rPr>
                <w:rFonts w:cstheme="minorHAnsi"/>
                <w:sz w:val="20"/>
                <w:szCs w:val="20"/>
              </w:rPr>
              <w:t xml:space="preserve">Treasury identifies a broad list of services related to households and businesses for which an NEU may use these funds. Per </w:t>
            </w:r>
            <w:hyperlink r:id="rId24" w:history="1">
              <w:r w:rsidRPr="00160271">
                <w:rPr>
                  <w:rStyle w:val="Hyperlink"/>
                  <w:rFonts w:cstheme="minorHAnsi"/>
                  <w:sz w:val="20"/>
                  <w:szCs w:val="20"/>
                </w:rPr>
                <w:t xml:space="preserve">Treasury’s </w:t>
              </w:r>
              <w:r>
                <w:rPr>
                  <w:rStyle w:val="Hyperlink"/>
                  <w:rFonts w:cstheme="minorHAnsi"/>
                  <w:sz w:val="20"/>
                  <w:szCs w:val="20"/>
                </w:rPr>
                <w:t>June 10</w:t>
              </w:r>
              <w:r w:rsidRPr="00160271">
                <w:rPr>
                  <w:rStyle w:val="Hyperlink"/>
                  <w:rFonts w:cstheme="minorHAnsi"/>
                  <w:sz w:val="20"/>
                  <w:szCs w:val="20"/>
                </w:rPr>
                <w:t>th FAQs</w:t>
              </w:r>
            </w:hyperlink>
            <w:r w:rsidRPr="00160271">
              <w:rPr>
                <w:rFonts w:cstheme="minorHAnsi"/>
                <w:sz w:val="20"/>
                <w:szCs w:val="20"/>
              </w:rPr>
              <w:t xml:space="preserve">, these include: </w:t>
            </w:r>
          </w:p>
          <w:p w14:paraId="7D87B8F2" w14:textId="77777777" w:rsidR="000D0A5B" w:rsidRPr="00160271" w:rsidRDefault="000D0A5B" w:rsidP="00D72579">
            <w:pPr>
              <w:rPr>
                <w:rFonts w:cstheme="minorHAnsi"/>
                <w:sz w:val="20"/>
                <w:szCs w:val="20"/>
              </w:rPr>
            </w:pPr>
          </w:p>
          <w:p w14:paraId="34E1F16E" w14:textId="77777777" w:rsidR="000D0A5B" w:rsidRPr="00160271" w:rsidRDefault="000D0A5B" w:rsidP="0044290D">
            <w:pPr>
              <w:pStyle w:val="ListParagraph"/>
              <w:numPr>
                <w:ilvl w:val="0"/>
                <w:numId w:val="7"/>
              </w:numPr>
              <w:rPr>
                <w:rFonts w:cstheme="minorHAnsi"/>
                <w:i/>
                <w:iCs/>
                <w:sz w:val="20"/>
                <w:szCs w:val="20"/>
              </w:rPr>
            </w:pPr>
            <w:r w:rsidRPr="00160271">
              <w:rPr>
                <w:rFonts w:cstheme="minorHAnsi"/>
                <w:i/>
                <w:iCs/>
                <w:sz w:val="20"/>
                <w:szCs w:val="20"/>
              </w:rPr>
              <w:t xml:space="preserve">Addressing health disparities and the social determinants of health, </w:t>
            </w:r>
            <w:proofErr w:type="gramStart"/>
            <w:r w:rsidRPr="00160271">
              <w:rPr>
                <w:rFonts w:cstheme="minorHAnsi"/>
                <w:i/>
                <w:iCs/>
                <w:sz w:val="20"/>
                <w:szCs w:val="20"/>
              </w:rPr>
              <w:t>including:</w:t>
            </w:r>
            <w:proofErr w:type="gramEnd"/>
            <w:r w:rsidRPr="00160271">
              <w:rPr>
                <w:rFonts w:cstheme="minorHAnsi"/>
                <w:i/>
                <w:iCs/>
                <w:sz w:val="20"/>
                <w:szCs w:val="20"/>
              </w:rPr>
              <w:t xml:space="preserve"> community health workers, public benefits navigators, remediation of lead paint or other lead hazards, and community violence intervention programs; </w:t>
            </w:r>
          </w:p>
          <w:p w14:paraId="16A641DC" w14:textId="36008A14" w:rsidR="000D0A5B" w:rsidRPr="00160271" w:rsidRDefault="000D0A5B" w:rsidP="0044290D">
            <w:pPr>
              <w:pStyle w:val="ListParagraph"/>
              <w:numPr>
                <w:ilvl w:val="0"/>
                <w:numId w:val="7"/>
              </w:numPr>
              <w:rPr>
                <w:rFonts w:cstheme="minorHAnsi"/>
                <w:i/>
                <w:iCs/>
                <w:sz w:val="20"/>
                <w:szCs w:val="20"/>
              </w:rPr>
            </w:pPr>
            <w:r w:rsidRPr="00160271">
              <w:rPr>
                <w:rFonts w:cstheme="minorHAnsi"/>
                <w:i/>
                <w:iCs/>
                <w:sz w:val="20"/>
                <w:szCs w:val="20"/>
              </w:rPr>
              <w:t xml:space="preserve">Building stronger neighborhoods and communities, </w:t>
            </w:r>
            <w:proofErr w:type="gramStart"/>
            <w:r w:rsidRPr="00160271">
              <w:rPr>
                <w:rFonts w:cstheme="minorHAnsi"/>
                <w:i/>
                <w:iCs/>
                <w:sz w:val="20"/>
                <w:szCs w:val="20"/>
              </w:rPr>
              <w:t>including:</w:t>
            </w:r>
            <w:proofErr w:type="gramEnd"/>
            <w:r w:rsidRPr="00160271">
              <w:rPr>
                <w:rFonts w:cstheme="minorHAnsi"/>
                <w:i/>
                <w:iCs/>
                <w:sz w:val="20"/>
                <w:szCs w:val="20"/>
              </w:rPr>
              <w:t xml:space="preserve"> supportive housing and other services for individuals experiencing homelessness, development of affordable housing, and housing vouchers and assistance relocating to neighborhoods with higher levels of economic opportunity; </w:t>
            </w:r>
          </w:p>
          <w:p w14:paraId="78001462" w14:textId="01EBDCCF" w:rsidR="000D0A5B" w:rsidRDefault="000D0A5B" w:rsidP="0044290D">
            <w:pPr>
              <w:pStyle w:val="ListParagraph"/>
              <w:numPr>
                <w:ilvl w:val="0"/>
                <w:numId w:val="7"/>
              </w:numPr>
              <w:rPr>
                <w:rFonts w:cstheme="minorHAnsi"/>
                <w:i/>
                <w:iCs/>
                <w:sz w:val="20"/>
                <w:szCs w:val="20"/>
              </w:rPr>
            </w:pPr>
            <w:r w:rsidRPr="00160271">
              <w:rPr>
                <w:rFonts w:cstheme="minorHAnsi"/>
                <w:i/>
                <w:iCs/>
                <w:sz w:val="20"/>
                <w:szCs w:val="20"/>
              </w:rPr>
              <w:t xml:space="preserve">Addressing educational disparities exacerbated by COVID-19, </w:t>
            </w:r>
            <w:proofErr w:type="gramStart"/>
            <w:r w:rsidRPr="00160271">
              <w:rPr>
                <w:rFonts w:cstheme="minorHAnsi"/>
                <w:i/>
                <w:iCs/>
                <w:sz w:val="20"/>
                <w:szCs w:val="20"/>
              </w:rPr>
              <w:t>including:</w:t>
            </w:r>
            <w:proofErr w:type="gramEnd"/>
            <w:r w:rsidRPr="00160271">
              <w:rPr>
                <w:rFonts w:cstheme="minorHAnsi"/>
                <w:i/>
                <w:iCs/>
                <w:sz w:val="20"/>
                <w:szCs w:val="20"/>
              </w:rPr>
              <w:t xml:space="preserve"> early learning services, increasing resources for high-poverty school districts, educational services like tutoring or afterschool programs, and supports for students’ social, emotional, and mental health needs; and </w:t>
            </w:r>
          </w:p>
          <w:p w14:paraId="5082A4AD" w14:textId="3EF45286" w:rsidR="000D0A5B" w:rsidRPr="000D0A5B" w:rsidRDefault="000D0A5B" w:rsidP="000D0A5B"/>
          <w:p w14:paraId="3E0EA8B6" w14:textId="536B1346" w:rsidR="000D0A5B" w:rsidRPr="000D0A5B" w:rsidRDefault="000D0A5B" w:rsidP="000D0A5B">
            <w:pPr>
              <w:tabs>
                <w:tab w:val="left" w:pos="2270"/>
              </w:tabs>
            </w:pPr>
            <w:r>
              <w:tab/>
            </w:r>
          </w:p>
          <w:p w14:paraId="19E5A706" w14:textId="62B675C2" w:rsidR="000D0A5B" w:rsidRPr="00160271" w:rsidRDefault="000D0A5B" w:rsidP="0044290D">
            <w:pPr>
              <w:pStyle w:val="ListParagraph"/>
              <w:numPr>
                <w:ilvl w:val="0"/>
                <w:numId w:val="7"/>
              </w:numPr>
              <w:rPr>
                <w:rFonts w:cstheme="minorHAnsi"/>
                <w:sz w:val="20"/>
                <w:szCs w:val="20"/>
              </w:rPr>
            </w:pPr>
            <w:r w:rsidRPr="00160271">
              <w:rPr>
                <w:rFonts w:cstheme="minorHAnsi"/>
                <w:i/>
                <w:iCs/>
                <w:sz w:val="20"/>
                <w:szCs w:val="20"/>
              </w:rPr>
              <w:lastRenderedPageBreak/>
              <w:t xml:space="preserve">Promoting healthy childhood environments, including: </w:t>
            </w:r>
            <w:proofErr w:type="gramStart"/>
            <w:r w:rsidRPr="00160271">
              <w:rPr>
                <w:rFonts w:cstheme="minorHAnsi"/>
                <w:i/>
                <w:iCs/>
                <w:sz w:val="20"/>
                <w:szCs w:val="20"/>
              </w:rPr>
              <w:t>child care</w:t>
            </w:r>
            <w:proofErr w:type="gramEnd"/>
            <w:r w:rsidRPr="00160271">
              <w:rPr>
                <w:rFonts w:cstheme="minorHAnsi"/>
                <w:i/>
                <w:iCs/>
                <w:sz w:val="20"/>
                <w:szCs w:val="20"/>
              </w:rPr>
              <w:t>, home visiting programs for families with young children, and enhanced services for child welfare-involved families and foster youth.</w:t>
            </w:r>
          </w:p>
        </w:tc>
      </w:tr>
      <w:tr w:rsidR="000D0A5B" w:rsidRPr="00160271" w14:paraId="4CDAE4B7" w14:textId="77777777" w:rsidTr="743E40D5">
        <w:tc>
          <w:tcPr>
            <w:tcW w:w="355" w:type="dxa"/>
          </w:tcPr>
          <w:p w14:paraId="7491F38C" w14:textId="0CFEFDDE" w:rsidR="000D0A5B" w:rsidRPr="00160271" w:rsidRDefault="000D0A5B" w:rsidP="009F185C">
            <w:pPr>
              <w:rPr>
                <w:rFonts w:cstheme="minorHAnsi"/>
                <w:sz w:val="20"/>
                <w:szCs w:val="20"/>
              </w:rPr>
            </w:pPr>
            <w:r w:rsidRPr="00160271">
              <w:rPr>
                <w:rFonts w:cstheme="minorHAnsi"/>
                <w:sz w:val="20"/>
                <w:szCs w:val="20"/>
              </w:rPr>
              <w:lastRenderedPageBreak/>
              <w:t>5</w:t>
            </w:r>
          </w:p>
        </w:tc>
        <w:tc>
          <w:tcPr>
            <w:tcW w:w="1980" w:type="dxa"/>
          </w:tcPr>
          <w:p w14:paraId="1E394789" w14:textId="2C36565A" w:rsidR="000D0A5B" w:rsidRPr="00160271" w:rsidRDefault="000D0A5B" w:rsidP="009F185C">
            <w:pPr>
              <w:rPr>
                <w:rFonts w:cstheme="minorHAnsi"/>
                <w:sz w:val="20"/>
                <w:szCs w:val="20"/>
              </w:rPr>
            </w:pPr>
            <w:r w:rsidRPr="00160271">
              <w:rPr>
                <w:rFonts w:cstheme="minorHAnsi"/>
                <w:sz w:val="20"/>
                <w:szCs w:val="20"/>
              </w:rPr>
              <w:t xml:space="preserve">How may an NEU use these funds to replace lost revenue?   </w:t>
            </w:r>
          </w:p>
        </w:tc>
        <w:tc>
          <w:tcPr>
            <w:tcW w:w="7020" w:type="dxa"/>
          </w:tcPr>
          <w:p w14:paraId="167A080C" w14:textId="407C48F8" w:rsidR="000D0A5B" w:rsidRPr="00160271" w:rsidRDefault="000D0A5B" w:rsidP="00D72579">
            <w:pPr>
              <w:rPr>
                <w:rFonts w:cstheme="minorHAnsi"/>
                <w:sz w:val="20"/>
                <w:szCs w:val="20"/>
              </w:rPr>
            </w:pPr>
            <w:r w:rsidRPr="00160271">
              <w:rPr>
                <w:rFonts w:cstheme="minorHAnsi"/>
                <w:sz w:val="20"/>
                <w:szCs w:val="20"/>
              </w:rPr>
              <w:t xml:space="preserve">Treasury provides NEUs with a specific definition of revenue, a formula for calculating lost revenue, and direction on how to apply funds for replacement.  This information may be found in </w:t>
            </w:r>
            <w:hyperlink r:id="rId25" w:history="1">
              <w:r w:rsidRPr="00160271">
                <w:rPr>
                  <w:rStyle w:val="Hyperlink"/>
                  <w:rFonts w:cstheme="minorHAnsi"/>
                  <w:sz w:val="20"/>
                  <w:szCs w:val="20"/>
                </w:rPr>
                <w:t xml:space="preserve">Treasury’s </w:t>
              </w:r>
              <w:r>
                <w:rPr>
                  <w:rStyle w:val="Hyperlink"/>
                  <w:rFonts w:cstheme="minorHAnsi"/>
                  <w:sz w:val="20"/>
                  <w:szCs w:val="20"/>
                </w:rPr>
                <w:t>June 10</w:t>
              </w:r>
              <w:r w:rsidRPr="00160271">
                <w:rPr>
                  <w:rStyle w:val="Hyperlink"/>
                  <w:rFonts w:cstheme="minorHAnsi"/>
                  <w:sz w:val="20"/>
                  <w:szCs w:val="20"/>
                  <w:vertAlign w:val="superscript"/>
                </w:rPr>
                <w:t>th</w:t>
              </w:r>
              <w:r w:rsidRPr="00160271">
                <w:rPr>
                  <w:rStyle w:val="Hyperlink"/>
                  <w:rFonts w:cstheme="minorHAnsi"/>
                  <w:sz w:val="20"/>
                  <w:szCs w:val="20"/>
                </w:rPr>
                <w:t xml:space="preserve"> FAQs</w:t>
              </w:r>
            </w:hyperlink>
            <w:r w:rsidRPr="00160271">
              <w:rPr>
                <w:rFonts w:cstheme="minorHAnsi"/>
                <w:sz w:val="20"/>
                <w:szCs w:val="20"/>
              </w:rPr>
              <w:t xml:space="preserve"> (see pages 9-12). </w:t>
            </w:r>
          </w:p>
        </w:tc>
      </w:tr>
      <w:tr w:rsidR="000D0A5B" w:rsidRPr="00160271" w14:paraId="692AB0A7" w14:textId="77777777" w:rsidTr="743E40D5">
        <w:tc>
          <w:tcPr>
            <w:tcW w:w="355" w:type="dxa"/>
          </w:tcPr>
          <w:p w14:paraId="1DB7CFED" w14:textId="25C7F513" w:rsidR="000D0A5B" w:rsidRPr="00160271" w:rsidRDefault="000D0A5B" w:rsidP="00D72579">
            <w:pPr>
              <w:rPr>
                <w:rFonts w:cstheme="minorHAnsi"/>
                <w:sz w:val="20"/>
                <w:szCs w:val="20"/>
              </w:rPr>
            </w:pPr>
            <w:r>
              <w:rPr>
                <w:rFonts w:cstheme="minorHAnsi"/>
                <w:sz w:val="20"/>
                <w:szCs w:val="20"/>
              </w:rPr>
              <w:t>6</w:t>
            </w:r>
          </w:p>
        </w:tc>
        <w:tc>
          <w:tcPr>
            <w:tcW w:w="1980" w:type="dxa"/>
          </w:tcPr>
          <w:p w14:paraId="2FB08540" w14:textId="6CC3D61F" w:rsidR="000D0A5B" w:rsidRPr="00160271" w:rsidRDefault="000D0A5B" w:rsidP="00D72579">
            <w:pPr>
              <w:rPr>
                <w:rFonts w:cstheme="minorHAnsi"/>
                <w:sz w:val="20"/>
                <w:szCs w:val="20"/>
              </w:rPr>
            </w:pPr>
            <w:r>
              <w:rPr>
                <w:rFonts w:cstheme="minorHAnsi"/>
                <w:sz w:val="20"/>
                <w:szCs w:val="20"/>
              </w:rPr>
              <w:t xml:space="preserve">Are NEUs limited to using funds for costs incurred beginning on March 3, 2021 only? </w:t>
            </w:r>
          </w:p>
        </w:tc>
        <w:tc>
          <w:tcPr>
            <w:tcW w:w="7020" w:type="dxa"/>
          </w:tcPr>
          <w:p w14:paraId="21F4AD09" w14:textId="69F0DCCC" w:rsidR="000D0A5B" w:rsidRPr="00160271" w:rsidRDefault="000D0A5B" w:rsidP="00D72579">
            <w:pPr>
              <w:rPr>
                <w:rFonts w:cstheme="minorHAnsi"/>
                <w:sz w:val="20"/>
                <w:szCs w:val="20"/>
              </w:rPr>
            </w:pPr>
            <w:r w:rsidRPr="00160271">
              <w:rPr>
                <w:rFonts w:cstheme="minorHAnsi"/>
                <w:sz w:val="20"/>
                <w:szCs w:val="20"/>
              </w:rPr>
              <w:t xml:space="preserve">For the eligible uses </w:t>
            </w:r>
            <w:r>
              <w:rPr>
                <w:rFonts w:cstheme="minorHAnsi"/>
                <w:sz w:val="20"/>
                <w:szCs w:val="20"/>
              </w:rPr>
              <w:t>described above</w:t>
            </w:r>
            <w:r w:rsidRPr="00160271">
              <w:rPr>
                <w:rFonts w:cstheme="minorHAnsi"/>
                <w:sz w:val="20"/>
                <w:szCs w:val="20"/>
              </w:rPr>
              <w:t xml:space="preserve">, funds may be used for costs incurred by the recipient beginning on March 3, 2021, </w:t>
            </w:r>
            <w:r>
              <w:rPr>
                <w:rFonts w:cstheme="minorHAnsi"/>
                <w:sz w:val="20"/>
                <w:szCs w:val="20"/>
              </w:rPr>
              <w:t>But</w:t>
            </w:r>
            <w:r w:rsidRPr="00160271">
              <w:rPr>
                <w:rFonts w:cstheme="minorHAnsi"/>
                <w:sz w:val="20"/>
                <w:szCs w:val="20"/>
              </w:rPr>
              <w:t>, in some cases, recipients may use the funds for circumstances occurring prior to March 3, 2021.</w:t>
            </w:r>
            <w:r>
              <w:rPr>
                <w:rFonts w:cstheme="minorHAnsi"/>
                <w:sz w:val="20"/>
                <w:szCs w:val="20"/>
              </w:rPr>
              <w:t xml:space="preserve"> Treasury provides guidance and examples on this important timing consideration in its </w:t>
            </w:r>
            <w:hyperlink r:id="rId26" w:history="1">
              <w:r>
                <w:rPr>
                  <w:rStyle w:val="Hyperlink"/>
                  <w:rFonts w:cstheme="minorHAnsi"/>
                  <w:sz w:val="20"/>
                  <w:szCs w:val="20"/>
                </w:rPr>
                <w:t>June 10</w:t>
              </w:r>
              <w:r w:rsidRPr="00160271">
                <w:rPr>
                  <w:rStyle w:val="Hyperlink"/>
                  <w:rFonts w:cstheme="minorHAnsi"/>
                  <w:sz w:val="20"/>
                  <w:szCs w:val="20"/>
                  <w:vertAlign w:val="superscript"/>
                </w:rPr>
                <w:t>th</w:t>
              </w:r>
              <w:r w:rsidRPr="00160271">
                <w:rPr>
                  <w:rStyle w:val="Hyperlink"/>
                  <w:rFonts w:cstheme="minorHAnsi"/>
                  <w:sz w:val="20"/>
                  <w:szCs w:val="20"/>
                </w:rPr>
                <w:t xml:space="preserve"> FAQs</w:t>
              </w:r>
            </w:hyperlink>
            <w:r>
              <w:rPr>
                <w:rFonts w:cstheme="minorHAnsi"/>
                <w:sz w:val="20"/>
                <w:szCs w:val="20"/>
              </w:rPr>
              <w:t xml:space="preserve"> (see item 4.7 on pages 14-15)</w:t>
            </w:r>
          </w:p>
        </w:tc>
      </w:tr>
      <w:tr w:rsidR="000D0A5B" w:rsidRPr="00160271" w14:paraId="3CCE5B21" w14:textId="77777777" w:rsidTr="743E40D5">
        <w:tc>
          <w:tcPr>
            <w:tcW w:w="355" w:type="dxa"/>
          </w:tcPr>
          <w:p w14:paraId="53FBCD05" w14:textId="55DF1796" w:rsidR="000D0A5B" w:rsidRPr="00160271" w:rsidRDefault="000D0A5B" w:rsidP="00D72579">
            <w:pPr>
              <w:rPr>
                <w:rFonts w:cstheme="minorHAnsi"/>
                <w:sz w:val="20"/>
                <w:szCs w:val="20"/>
              </w:rPr>
            </w:pPr>
            <w:r>
              <w:rPr>
                <w:rFonts w:cstheme="minorHAnsi"/>
                <w:sz w:val="20"/>
                <w:szCs w:val="20"/>
              </w:rPr>
              <w:t>7</w:t>
            </w:r>
          </w:p>
        </w:tc>
        <w:tc>
          <w:tcPr>
            <w:tcW w:w="1980" w:type="dxa"/>
          </w:tcPr>
          <w:p w14:paraId="7DF52B3A" w14:textId="38DE0FE8" w:rsidR="000D0A5B" w:rsidRPr="00160271" w:rsidRDefault="000D0A5B" w:rsidP="00D72579">
            <w:pPr>
              <w:rPr>
                <w:rFonts w:cstheme="minorHAnsi"/>
                <w:sz w:val="20"/>
                <w:szCs w:val="20"/>
              </w:rPr>
            </w:pPr>
            <w:r w:rsidRPr="00160271">
              <w:rPr>
                <w:rFonts w:cstheme="minorHAnsi"/>
                <w:sz w:val="20"/>
                <w:szCs w:val="20"/>
              </w:rPr>
              <w:t>What if an NEU has other questions about how funds may be used?</w:t>
            </w:r>
          </w:p>
        </w:tc>
        <w:tc>
          <w:tcPr>
            <w:tcW w:w="7020" w:type="dxa"/>
          </w:tcPr>
          <w:p w14:paraId="41885E49" w14:textId="36A0FD99" w:rsidR="000D0A5B" w:rsidRPr="00160271" w:rsidRDefault="000D0A5B" w:rsidP="00D72579">
            <w:pPr>
              <w:rPr>
                <w:rFonts w:cstheme="minorHAnsi"/>
                <w:sz w:val="20"/>
                <w:szCs w:val="20"/>
              </w:rPr>
            </w:pPr>
            <w:r w:rsidRPr="00160271">
              <w:rPr>
                <w:rFonts w:cstheme="minorHAnsi"/>
                <w:sz w:val="20"/>
                <w:szCs w:val="20"/>
              </w:rPr>
              <w:t xml:space="preserve">Treasury maintains a lengthy FAQ inventory of its own and periodically updates it with additional guidance and direction.  It is available online </w:t>
            </w:r>
            <w:hyperlink r:id="rId27" w:history="1">
              <w:r w:rsidRPr="00160271">
                <w:rPr>
                  <w:rStyle w:val="Hyperlink"/>
                  <w:rFonts w:cstheme="minorHAnsi"/>
                  <w:sz w:val="20"/>
                  <w:szCs w:val="20"/>
                </w:rPr>
                <w:t>here</w:t>
              </w:r>
            </w:hyperlink>
            <w:r w:rsidRPr="00160271">
              <w:rPr>
                <w:rFonts w:cstheme="minorHAnsi"/>
                <w:sz w:val="20"/>
                <w:szCs w:val="20"/>
              </w:rPr>
              <w:t xml:space="preserve"> (last updated </w:t>
            </w:r>
            <w:r>
              <w:rPr>
                <w:rFonts w:cstheme="minorHAnsi"/>
                <w:sz w:val="20"/>
                <w:szCs w:val="20"/>
              </w:rPr>
              <w:t>June 10</w:t>
            </w:r>
            <w:r w:rsidRPr="00160271">
              <w:rPr>
                <w:rFonts w:cstheme="minorHAnsi"/>
                <w:sz w:val="20"/>
                <w:szCs w:val="20"/>
              </w:rPr>
              <w:t xml:space="preserve">, 2021).  </w:t>
            </w:r>
          </w:p>
        </w:tc>
      </w:tr>
    </w:tbl>
    <w:p w14:paraId="4093CA74" w14:textId="2DE1D60B" w:rsidR="00641C22" w:rsidRPr="00160271" w:rsidRDefault="00641C22" w:rsidP="00077A03">
      <w:pPr>
        <w:spacing w:after="0"/>
        <w:rPr>
          <w:rFonts w:cstheme="minorHAnsi"/>
          <w:b/>
          <w:bCs/>
          <w:sz w:val="20"/>
          <w:szCs w:val="20"/>
        </w:rPr>
      </w:pPr>
    </w:p>
    <w:p w14:paraId="4BDD348B" w14:textId="5BA18F10" w:rsidR="0048113E" w:rsidRPr="00160271" w:rsidRDefault="0048113E" w:rsidP="00077A03">
      <w:pPr>
        <w:spacing w:after="0"/>
        <w:rPr>
          <w:rFonts w:cstheme="minorHAnsi"/>
          <w:b/>
          <w:bCs/>
          <w:sz w:val="20"/>
          <w:szCs w:val="20"/>
        </w:rPr>
      </w:pPr>
      <w:r w:rsidRPr="00160271">
        <w:rPr>
          <w:rFonts w:cstheme="minorHAnsi"/>
          <w:b/>
          <w:bCs/>
          <w:sz w:val="20"/>
          <w:szCs w:val="20"/>
        </w:rPr>
        <w:t>D. NEU Reporting Requirements</w:t>
      </w:r>
    </w:p>
    <w:tbl>
      <w:tblPr>
        <w:tblStyle w:val="TableGrid"/>
        <w:tblW w:w="9355" w:type="dxa"/>
        <w:tblLook w:val="04A0" w:firstRow="1" w:lastRow="0" w:firstColumn="1" w:lastColumn="0" w:noHBand="0" w:noVBand="1"/>
      </w:tblPr>
      <w:tblGrid>
        <w:gridCol w:w="355"/>
        <w:gridCol w:w="1980"/>
        <w:gridCol w:w="7020"/>
      </w:tblGrid>
      <w:tr w:rsidR="000D0A5B" w:rsidRPr="00160271" w14:paraId="322303D2" w14:textId="77777777" w:rsidTr="000D0A5B">
        <w:tc>
          <w:tcPr>
            <w:tcW w:w="355" w:type="dxa"/>
          </w:tcPr>
          <w:p w14:paraId="04D751D7" w14:textId="77777777" w:rsidR="000D0A5B" w:rsidRPr="00160271" w:rsidRDefault="000D0A5B" w:rsidP="009F185C">
            <w:pPr>
              <w:rPr>
                <w:rFonts w:cstheme="minorHAnsi"/>
                <w:sz w:val="20"/>
                <w:szCs w:val="20"/>
              </w:rPr>
            </w:pPr>
            <w:r w:rsidRPr="00160271">
              <w:rPr>
                <w:rFonts w:cstheme="minorHAnsi"/>
                <w:b/>
                <w:bCs/>
                <w:sz w:val="20"/>
                <w:szCs w:val="20"/>
              </w:rPr>
              <w:t>#</w:t>
            </w:r>
          </w:p>
        </w:tc>
        <w:tc>
          <w:tcPr>
            <w:tcW w:w="1980" w:type="dxa"/>
          </w:tcPr>
          <w:p w14:paraId="536B665E" w14:textId="77777777" w:rsidR="000D0A5B" w:rsidRPr="00160271" w:rsidRDefault="000D0A5B" w:rsidP="009F185C">
            <w:pPr>
              <w:rPr>
                <w:rFonts w:cstheme="minorHAnsi"/>
                <w:sz w:val="20"/>
                <w:szCs w:val="20"/>
              </w:rPr>
            </w:pPr>
            <w:r w:rsidRPr="00160271">
              <w:rPr>
                <w:rFonts w:cstheme="minorHAnsi"/>
                <w:b/>
                <w:bCs/>
                <w:sz w:val="20"/>
                <w:szCs w:val="20"/>
              </w:rPr>
              <w:t>Question</w:t>
            </w:r>
          </w:p>
        </w:tc>
        <w:tc>
          <w:tcPr>
            <w:tcW w:w="7020" w:type="dxa"/>
          </w:tcPr>
          <w:p w14:paraId="5A430601" w14:textId="77777777" w:rsidR="000D0A5B" w:rsidRPr="00160271" w:rsidRDefault="000D0A5B" w:rsidP="009F185C">
            <w:pPr>
              <w:rPr>
                <w:rFonts w:cstheme="minorHAnsi"/>
                <w:sz w:val="20"/>
                <w:szCs w:val="20"/>
              </w:rPr>
            </w:pPr>
            <w:r w:rsidRPr="00160271">
              <w:rPr>
                <w:rFonts w:cstheme="minorHAnsi"/>
                <w:b/>
                <w:bCs/>
                <w:sz w:val="20"/>
                <w:szCs w:val="20"/>
              </w:rPr>
              <w:t>Answer</w:t>
            </w:r>
          </w:p>
        </w:tc>
      </w:tr>
      <w:tr w:rsidR="000D0A5B" w:rsidRPr="00160271" w14:paraId="50DD6865" w14:textId="77777777" w:rsidTr="000D0A5B">
        <w:tc>
          <w:tcPr>
            <w:tcW w:w="355" w:type="dxa"/>
          </w:tcPr>
          <w:p w14:paraId="04565F3E" w14:textId="77777777" w:rsidR="000D0A5B" w:rsidRPr="00160271" w:rsidRDefault="000D0A5B" w:rsidP="009F185C">
            <w:pPr>
              <w:rPr>
                <w:rFonts w:cstheme="minorHAnsi"/>
                <w:sz w:val="20"/>
                <w:szCs w:val="20"/>
              </w:rPr>
            </w:pPr>
            <w:r w:rsidRPr="00160271">
              <w:rPr>
                <w:rFonts w:cstheme="minorHAnsi"/>
                <w:sz w:val="20"/>
                <w:szCs w:val="20"/>
              </w:rPr>
              <w:t>1</w:t>
            </w:r>
          </w:p>
        </w:tc>
        <w:tc>
          <w:tcPr>
            <w:tcW w:w="1980" w:type="dxa"/>
          </w:tcPr>
          <w:p w14:paraId="009079BC" w14:textId="12F39061" w:rsidR="000D0A5B" w:rsidRPr="00160271" w:rsidRDefault="000D0A5B" w:rsidP="009F185C">
            <w:pPr>
              <w:rPr>
                <w:rFonts w:cstheme="minorHAnsi"/>
                <w:sz w:val="20"/>
                <w:szCs w:val="20"/>
              </w:rPr>
            </w:pPr>
            <w:r w:rsidRPr="00160271">
              <w:rPr>
                <w:rFonts w:cstheme="minorHAnsi"/>
                <w:sz w:val="20"/>
                <w:szCs w:val="20"/>
              </w:rPr>
              <w:t xml:space="preserve">Will an NEU be required to submit reports on how funds are used? </w:t>
            </w:r>
          </w:p>
        </w:tc>
        <w:tc>
          <w:tcPr>
            <w:tcW w:w="7020" w:type="dxa"/>
          </w:tcPr>
          <w:p w14:paraId="793975C7" w14:textId="60555F92" w:rsidR="000D0A5B" w:rsidRPr="00160271" w:rsidRDefault="000D0A5B" w:rsidP="2EA74F6A">
            <w:pPr>
              <w:rPr>
                <w:sz w:val="20"/>
                <w:szCs w:val="20"/>
              </w:rPr>
            </w:pPr>
            <w:r w:rsidRPr="2EA74F6A">
              <w:rPr>
                <w:sz w:val="20"/>
                <w:szCs w:val="20"/>
              </w:rPr>
              <w:t>Yes.  NEUs will be required to report to Treasury on the use of funds annually by October 31</w:t>
            </w:r>
            <w:r w:rsidRPr="2EA74F6A">
              <w:rPr>
                <w:sz w:val="20"/>
                <w:szCs w:val="20"/>
                <w:vertAlign w:val="superscript"/>
              </w:rPr>
              <w:t>st</w:t>
            </w:r>
            <w:r w:rsidRPr="2EA74F6A">
              <w:rPr>
                <w:sz w:val="20"/>
                <w:szCs w:val="20"/>
              </w:rPr>
              <w:t xml:space="preserve"> each year. First reports will be due to Treasury by October 31, 2021.  Reporting instructions will be forthcoming.  In advance of those instructions, NEUs should maintain detailed financial records and supporting documents accordingly.  </w:t>
            </w:r>
          </w:p>
          <w:p w14:paraId="362D655B" w14:textId="77777777" w:rsidR="000D0A5B" w:rsidRPr="00160271" w:rsidRDefault="000D0A5B" w:rsidP="009F185C">
            <w:pPr>
              <w:rPr>
                <w:rFonts w:cstheme="minorHAnsi"/>
                <w:sz w:val="20"/>
                <w:szCs w:val="20"/>
              </w:rPr>
            </w:pPr>
          </w:p>
          <w:p w14:paraId="2693DB85" w14:textId="265B45CA" w:rsidR="000D0A5B" w:rsidRPr="00160271" w:rsidRDefault="000D0A5B" w:rsidP="009F185C">
            <w:pPr>
              <w:rPr>
                <w:rFonts w:cstheme="minorHAnsi"/>
                <w:sz w:val="20"/>
                <w:szCs w:val="20"/>
              </w:rPr>
            </w:pPr>
            <w:r w:rsidRPr="00160271">
              <w:rPr>
                <w:rFonts w:cstheme="minorHAnsi"/>
                <w:sz w:val="20"/>
                <w:szCs w:val="20"/>
              </w:rPr>
              <w:t xml:space="preserve">After the initial request for funding, an NEU will be required to report the following: </w:t>
            </w:r>
          </w:p>
          <w:p w14:paraId="016CAD87" w14:textId="16530CD4" w:rsidR="000D0A5B" w:rsidRPr="00160271" w:rsidRDefault="000D0A5B" w:rsidP="0048113E">
            <w:pPr>
              <w:pStyle w:val="ListParagraph"/>
              <w:numPr>
                <w:ilvl w:val="0"/>
                <w:numId w:val="2"/>
              </w:numPr>
              <w:rPr>
                <w:rFonts w:cstheme="minorHAnsi"/>
                <w:sz w:val="20"/>
                <w:szCs w:val="20"/>
              </w:rPr>
            </w:pPr>
            <w:r w:rsidRPr="00160271">
              <w:rPr>
                <w:rFonts w:cstheme="minorHAnsi"/>
                <w:sz w:val="20"/>
                <w:szCs w:val="20"/>
              </w:rPr>
              <w:t>NEU Recipient Number (a unique ID code for each NEU assigned by the state to the NEU as part of the request for funding)</w:t>
            </w:r>
          </w:p>
          <w:p w14:paraId="4149B22A" w14:textId="77777777" w:rsidR="000D0A5B" w:rsidRPr="00160271" w:rsidRDefault="000D0A5B" w:rsidP="0048113E">
            <w:pPr>
              <w:pStyle w:val="ListParagraph"/>
              <w:numPr>
                <w:ilvl w:val="0"/>
                <w:numId w:val="2"/>
              </w:numPr>
              <w:rPr>
                <w:rFonts w:cstheme="minorHAnsi"/>
                <w:sz w:val="20"/>
                <w:szCs w:val="20"/>
              </w:rPr>
            </w:pPr>
            <w:r w:rsidRPr="00160271">
              <w:rPr>
                <w:rFonts w:cstheme="minorHAnsi"/>
                <w:sz w:val="20"/>
                <w:szCs w:val="20"/>
              </w:rPr>
              <w:t>Copy of signed award terms and conditions agreement</w:t>
            </w:r>
          </w:p>
          <w:p w14:paraId="4344CFD9" w14:textId="77777777" w:rsidR="000D0A5B" w:rsidRPr="00160271" w:rsidRDefault="000D0A5B" w:rsidP="0048113E">
            <w:pPr>
              <w:pStyle w:val="ListParagraph"/>
              <w:numPr>
                <w:ilvl w:val="0"/>
                <w:numId w:val="2"/>
              </w:numPr>
              <w:rPr>
                <w:rFonts w:cstheme="minorHAnsi"/>
                <w:sz w:val="20"/>
                <w:szCs w:val="20"/>
              </w:rPr>
            </w:pPr>
            <w:r w:rsidRPr="00160271">
              <w:rPr>
                <w:rFonts w:cstheme="minorHAnsi"/>
                <w:sz w:val="20"/>
                <w:szCs w:val="20"/>
              </w:rPr>
              <w:t>Copy of signed assurances of compliance with Title VI of the Civil Rights Act of 1964</w:t>
            </w:r>
          </w:p>
          <w:p w14:paraId="419ADB37" w14:textId="0F719301" w:rsidR="000D0A5B" w:rsidRPr="00160271" w:rsidRDefault="000D0A5B" w:rsidP="004320E5">
            <w:pPr>
              <w:pStyle w:val="ListParagraph"/>
              <w:numPr>
                <w:ilvl w:val="0"/>
                <w:numId w:val="2"/>
              </w:numPr>
              <w:rPr>
                <w:rFonts w:cstheme="minorHAnsi"/>
                <w:sz w:val="20"/>
                <w:szCs w:val="20"/>
              </w:rPr>
            </w:pPr>
            <w:r w:rsidRPr="00160271">
              <w:rPr>
                <w:rFonts w:cstheme="minorHAnsi"/>
                <w:sz w:val="20"/>
                <w:szCs w:val="20"/>
              </w:rPr>
              <w:t>Copy of actual budget documents validating the top-line budget total provided to the state as part of the request for funding</w:t>
            </w:r>
          </w:p>
        </w:tc>
      </w:tr>
    </w:tbl>
    <w:p w14:paraId="5FFA4AB4" w14:textId="77777777" w:rsidR="0048113E" w:rsidRPr="00160271" w:rsidRDefault="0048113E" w:rsidP="00077A03">
      <w:pPr>
        <w:spacing w:after="0"/>
        <w:rPr>
          <w:rFonts w:cstheme="minorHAnsi"/>
          <w:b/>
          <w:bCs/>
          <w:sz w:val="20"/>
          <w:szCs w:val="20"/>
        </w:rPr>
      </w:pPr>
    </w:p>
    <w:p w14:paraId="12BFF442" w14:textId="616D1CA8" w:rsidR="00641C22" w:rsidRPr="00160271" w:rsidRDefault="0048113E" w:rsidP="00077A03">
      <w:pPr>
        <w:spacing w:after="0"/>
        <w:rPr>
          <w:rFonts w:cstheme="minorHAnsi"/>
          <w:b/>
          <w:bCs/>
          <w:sz w:val="20"/>
          <w:szCs w:val="20"/>
        </w:rPr>
      </w:pPr>
      <w:r w:rsidRPr="00160271">
        <w:rPr>
          <w:rFonts w:cstheme="minorHAnsi"/>
          <w:b/>
          <w:bCs/>
          <w:sz w:val="20"/>
          <w:szCs w:val="20"/>
        </w:rPr>
        <w:t>E</w:t>
      </w:r>
      <w:r w:rsidR="00641C22" w:rsidRPr="00160271">
        <w:rPr>
          <w:rFonts w:cstheme="minorHAnsi"/>
          <w:b/>
          <w:bCs/>
          <w:sz w:val="20"/>
          <w:szCs w:val="20"/>
        </w:rPr>
        <w:t>. Miscellaneous</w:t>
      </w:r>
      <w:r w:rsidR="0029157D" w:rsidRPr="00160271">
        <w:rPr>
          <w:rFonts w:cstheme="minorHAnsi"/>
          <w:b/>
          <w:bCs/>
          <w:sz w:val="20"/>
          <w:szCs w:val="20"/>
        </w:rPr>
        <w:t>/Other</w:t>
      </w:r>
    </w:p>
    <w:tbl>
      <w:tblPr>
        <w:tblStyle w:val="TableGrid"/>
        <w:tblW w:w="9355" w:type="dxa"/>
        <w:tblLook w:val="04A0" w:firstRow="1" w:lastRow="0" w:firstColumn="1" w:lastColumn="0" w:noHBand="0" w:noVBand="1"/>
      </w:tblPr>
      <w:tblGrid>
        <w:gridCol w:w="355"/>
        <w:gridCol w:w="1980"/>
        <w:gridCol w:w="7020"/>
      </w:tblGrid>
      <w:tr w:rsidR="000D0A5B" w:rsidRPr="00160271" w14:paraId="37BFBB9C" w14:textId="77777777" w:rsidTr="743E40D5">
        <w:tc>
          <w:tcPr>
            <w:tcW w:w="355" w:type="dxa"/>
          </w:tcPr>
          <w:p w14:paraId="007F2485" w14:textId="77777777" w:rsidR="000D0A5B" w:rsidRPr="00160271" w:rsidRDefault="000D0A5B" w:rsidP="009F185C">
            <w:pPr>
              <w:rPr>
                <w:rFonts w:cstheme="minorHAnsi"/>
                <w:sz w:val="20"/>
                <w:szCs w:val="20"/>
              </w:rPr>
            </w:pPr>
            <w:r w:rsidRPr="00160271">
              <w:rPr>
                <w:rFonts w:cstheme="minorHAnsi"/>
                <w:b/>
                <w:bCs/>
                <w:sz w:val="20"/>
                <w:szCs w:val="20"/>
              </w:rPr>
              <w:t>#</w:t>
            </w:r>
          </w:p>
        </w:tc>
        <w:tc>
          <w:tcPr>
            <w:tcW w:w="1980" w:type="dxa"/>
          </w:tcPr>
          <w:p w14:paraId="28A8B558" w14:textId="77777777" w:rsidR="000D0A5B" w:rsidRPr="00160271" w:rsidRDefault="000D0A5B" w:rsidP="009F185C">
            <w:pPr>
              <w:rPr>
                <w:rFonts w:cstheme="minorHAnsi"/>
                <w:sz w:val="20"/>
                <w:szCs w:val="20"/>
              </w:rPr>
            </w:pPr>
            <w:r w:rsidRPr="00160271">
              <w:rPr>
                <w:rFonts w:cstheme="minorHAnsi"/>
                <w:b/>
                <w:bCs/>
                <w:sz w:val="20"/>
                <w:szCs w:val="20"/>
              </w:rPr>
              <w:t>Question</w:t>
            </w:r>
          </w:p>
        </w:tc>
        <w:tc>
          <w:tcPr>
            <w:tcW w:w="7020" w:type="dxa"/>
          </w:tcPr>
          <w:p w14:paraId="6B41BF31" w14:textId="77777777" w:rsidR="000D0A5B" w:rsidRPr="00160271" w:rsidRDefault="000D0A5B" w:rsidP="009F185C">
            <w:pPr>
              <w:rPr>
                <w:rFonts w:cstheme="minorHAnsi"/>
                <w:sz w:val="20"/>
                <w:szCs w:val="20"/>
              </w:rPr>
            </w:pPr>
            <w:r w:rsidRPr="00160271">
              <w:rPr>
                <w:rFonts w:cstheme="minorHAnsi"/>
                <w:b/>
                <w:bCs/>
                <w:sz w:val="20"/>
                <w:szCs w:val="20"/>
              </w:rPr>
              <w:t>Answer</w:t>
            </w:r>
          </w:p>
        </w:tc>
      </w:tr>
      <w:tr w:rsidR="000D0A5B" w:rsidRPr="00160271" w14:paraId="49789A60" w14:textId="77777777" w:rsidTr="743E40D5">
        <w:tc>
          <w:tcPr>
            <w:tcW w:w="355" w:type="dxa"/>
          </w:tcPr>
          <w:p w14:paraId="518D283D" w14:textId="77777777" w:rsidR="000D0A5B" w:rsidRPr="00160271" w:rsidRDefault="000D0A5B" w:rsidP="00160271">
            <w:pPr>
              <w:rPr>
                <w:rFonts w:cstheme="minorHAnsi"/>
                <w:sz w:val="20"/>
                <w:szCs w:val="20"/>
              </w:rPr>
            </w:pPr>
            <w:r w:rsidRPr="00160271">
              <w:rPr>
                <w:rFonts w:cstheme="minorHAnsi"/>
                <w:sz w:val="20"/>
                <w:szCs w:val="20"/>
              </w:rPr>
              <w:t>1</w:t>
            </w:r>
          </w:p>
        </w:tc>
        <w:tc>
          <w:tcPr>
            <w:tcW w:w="1980" w:type="dxa"/>
          </w:tcPr>
          <w:p w14:paraId="2F4D7A76" w14:textId="679A7716" w:rsidR="000D0A5B" w:rsidRPr="00160271" w:rsidRDefault="000D0A5B" w:rsidP="743E40D5">
            <w:pPr>
              <w:rPr>
                <w:sz w:val="20"/>
                <w:szCs w:val="20"/>
              </w:rPr>
            </w:pPr>
            <w:r w:rsidRPr="743E40D5">
              <w:rPr>
                <w:sz w:val="20"/>
                <w:szCs w:val="20"/>
              </w:rPr>
              <w:t>Should an NEU expect to submit information through the Treasury Submission Portal in addition to the GOFERR website</w:t>
            </w:r>
            <w:r w:rsidR="7C694C40" w:rsidRPr="743E40D5">
              <w:rPr>
                <w:sz w:val="20"/>
                <w:szCs w:val="20"/>
              </w:rPr>
              <w:t xml:space="preserve"> in order to receive funds</w:t>
            </w:r>
            <w:r w:rsidRPr="743E40D5">
              <w:rPr>
                <w:sz w:val="20"/>
                <w:szCs w:val="20"/>
              </w:rPr>
              <w:t xml:space="preserve">?   </w:t>
            </w:r>
          </w:p>
        </w:tc>
        <w:tc>
          <w:tcPr>
            <w:tcW w:w="7020" w:type="dxa"/>
          </w:tcPr>
          <w:p w14:paraId="4A5FD396" w14:textId="2C7EBFA4" w:rsidR="000D0A5B" w:rsidRPr="00160271" w:rsidRDefault="000D0A5B" w:rsidP="743E40D5">
            <w:pPr>
              <w:rPr>
                <w:sz w:val="20"/>
                <w:szCs w:val="20"/>
              </w:rPr>
            </w:pPr>
            <w:r w:rsidRPr="743E40D5">
              <w:rPr>
                <w:sz w:val="20"/>
                <w:szCs w:val="20"/>
              </w:rPr>
              <w:t xml:space="preserve">No. NEUs will receive </w:t>
            </w:r>
            <w:r w:rsidR="3D5239F3" w:rsidRPr="743E40D5">
              <w:rPr>
                <w:sz w:val="20"/>
                <w:szCs w:val="20"/>
              </w:rPr>
              <w:t xml:space="preserve">LFRF </w:t>
            </w:r>
            <w:r w:rsidRPr="743E40D5">
              <w:rPr>
                <w:sz w:val="20"/>
                <w:szCs w:val="20"/>
              </w:rPr>
              <w:t xml:space="preserve">funds from the </w:t>
            </w:r>
            <w:r w:rsidR="6B66F97A" w:rsidRPr="743E40D5">
              <w:rPr>
                <w:sz w:val="20"/>
                <w:szCs w:val="20"/>
              </w:rPr>
              <w:t>S</w:t>
            </w:r>
            <w:r w:rsidRPr="743E40D5">
              <w:rPr>
                <w:sz w:val="20"/>
                <w:szCs w:val="20"/>
              </w:rPr>
              <w:t xml:space="preserve">tate and should not submit information via the Treasury Submission Portal.   </w:t>
            </w:r>
          </w:p>
        </w:tc>
      </w:tr>
    </w:tbl>
    <w:p w14:paraId="2233F213" w14:textId="77777777" w:rsidR="00641C22" w:rsidRPr="00160271" w:rsidRDefault="00641C22" w:rsidP="00077A03">
      <w:pPr>
        <w:spacing w:after="0"/>
        <w:rPr>
          <w:rFonts w:cstheme="minorHAnsi"/>
          <w:sz w:val="20"/>
          <w:szCs w:val="20"/>
        </w:rPr>
      </w:pPr>
    </w:p>
    <w:sectPr w:rsidR="00641C22" w:rsidRPr="0016027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D19D" w14:textId="77777777" w:rsidR="00DA0D34" w:rsidRDefault="00DA0D34" w:rsidP="00641C22">
      <w:pPr>
        <w:spacing w:after="0" w:line="240" w:lineRule="auto"/>
      </w:pPr>
      <w:r>
        <w:separator/>
      </w:r>
    </w:p>
  </w:endnote>
  <w:endnote w:type="continuationSeparator" w:id="0">
    <w:p w14:paraId="154B8043" w14:textId="77777777" w:rsidR="00DA0D34" w:rsidRDefault="00DA0D34" w:rsidP="00641C22">
      <w:pPr>
        <w:spacing w:after="0" w:line="240" w:lineRule="auto"/>
      </w:pPr>
      <w:r>
        <w:continuationSeparator/>
      </w:r>
    </w:p>
  </w:endnote>
  <w:endnote w:type="continuationNotice" w:id="1">
    <w:p w14:paraId="48A60833" w14:textId="77777777" w:rsidR="00DA0D34" w:rsidRDefault="00DA0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47203"/>
      <w:docPartObj>
        <w:docPartGallery w:val="Page Numbers (Bottom of Page)"/>
        <w:docPartUnique/>
      </w:docPartObj>
    </w:sdtPr>
    <w:sdtEndPr>
      <w:rPr>
        <w:noProof/>
        <w:sz w:val="16"/>
        <w:szCs w:val="16"/>
      </w:rPr>
    </w:sdtEndPr>
    <w:sdtContent>
      <w:p w14:paraId="7535C8F4" w14:textId="2D037BCE" w:rsidR="006C0F3B" w:rsidRPr="000D0A5B" w:rsidRDefault="000D0A5B" w:rsidP="000D0A5B">
        <w:pPr>
          <w:pStyle w:val="Footer"/>
          <w:jc w:val="right"/>
          <w:rPr>
            <w:sz w:val="16"/>
            <w:szCs w:val="16"/>
          </w:rPr>
        </w:pPr>
        <w:r w:rsidRPr="000D0A5B">
          <w:rPr>
            <w:noProof/>
            <w:sz w:val="16"/>
            <w:szCs w:val="16"/>
          </w:rPr>
          <mc:AlternateContent>
            <mc:Choice Requires="wps">
              <w:drawing>
                <wp:anchor distT="0" distB="0" distL="114300" distR="114300" simplePos="0" relativeHeight="251659264" behindDoc="0" locked="0" layoutInCell="1" allowOverlap="1" wp14:anchorId="78000AD2" wp14:editId="143521AF">
                  <wp:simplePos x="0" y="0"/>
                  <wp:positionH relativeFrom="margin">
                    <wp:posOffset>0</wp:posOffset>
                  </wp:positionH>
                  <wp:positionV relativeFrom="paragraph">
                    <wp:posOffset>-29210</wp:posOffset>
                  </wp:positionV>
                  <wp:extent cx="914400" cy="91440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351D24F9" w14:textId="2883396B" w:rsidR="000D0A5B" w:rsidRPr="000D0A5B" w:rsidRDefault="000D0A5B" w:rsidP="000D0A5B">
                              <w:pPr>
                                <w:spacing w:after="0" w:line="240" w:lineRule="auto"/>
                                <w:rPr>
                                  <w:rFonts w:cstheme="minorHAnsi"/>
                                  <w:sz w:val="16"/>
                                  <w:szCs w:val="16"/>
                                </w:rPr>
                              </w:pPr>
                              <w:r w:rsidRPr="000D0A5B">
                                <w:rPr>
                                  <w:rFonts w:cstheme="minorHAnsi"/>
                                  <w:sz w:val="16"/>
                                  <w:szCs w:val="16"/>
                                </w:rPr>
                                <w:t xml:space="preserve">Coronavirus Local Fiscal Recovery Funds - </w:t>
                              </w:r>
                              <w:r w:rsidR="00F67639" w:rsidRPr="00F67639">
                                <w:rPr>
                                  <w:rFonts w:cstheme="minorHAnsi"/>
                                  <w:sz w:val="16"/>
                                  <w:szCs w:val="16"/>
                                </w:rPr>
                                <w:t xml:space="preserve">Frequently Asked Questions on Allowable Uses and Reporting Requirements </w:t>
                              </w:r>
                            </w:p>
                            <w:p w14:paraId="3A202F50" w14:textId="43BAFF10" w:rsidR="000D0A5B" w:rsidRPr="000D0A5B" w:rsidRDefault="003D3889" w:rsidP="000D0A5B">
                              <w:pPr>
                                <w:pStyle w:val="Footer"/>
                                <w:rPr>
                                  <w:i/>
                                  <w:iCs/>
                                  <w:sz w:val="16"/>
                                  <w:szCs w:val="16"/>
                                </w:rPr>
                              </w:pPr>
                              <w:r>
                                <w:rPr>
                                  <w:i/>
                                  <w:iCs/>
                                  <w:sz w:val="16"/>
                                  <w:szCs w:val="16"/>
                                </w:rPr>
                                <w:t xml:space="preserve">Version </w:t>
                              </w:r>
                              <w:r w:rsidR="00AE3733">
                                <w:rPr>
                                  <w:i/>
                                  <w:iCs/>
                                  <w:sz w:val="16"/>
                                  <w:szCs w:val="16"/>
                                </w:rPr>
                                <w:t>1.</w:t>
                              </w:r>
                              <w:r w:rsidR="006669B7">
                                <w:rPr>
                                  <w:i/>
                                  <w:iCs/>
                                  <w:sz w:val="16"/>
                                  <w:szCs w:val="16"/>
                                </w:rPr>
                                <w:t>1</w:t>
                              </w:r>
                              <w:r>
                                <w:rPr>
                                  <w:i/>
                                  <w:iCs/>
                                  <w:sz w:val="16"/>
                                  <w:szCs w:val="16"/>
                                </w:rPr>
                                <w:t xml:space="preserve"> / </w:t>
                              </w:r>
                              <w:r w:rsidR="000D0A5B" w:rsidRPr="000D0A5B">
                                <w:rPr>
                                  <w:i/>
                                  <w:iCs/>
                                  <w:sz w:val="16"/>
                                  <w:szCs w:val="16"/>
                                </w:rPr>
                                <w:t>Last updated 6/1</w:t>
                              </w:r>
                              <w:r w:rsidR="006669B7">
                                <w:rPr>
                                  <w:i/>
                                  <w:iCs/>
                                  <w:sz w:val="16"/>
                                  <w:szCs w:val="16"/>
                                </w:rPr>
                                <w:t>6</w:t>
                              </w:r>
                              <w:r w:rsidR="000D0A5B" w:rsidRPr="000D0A5B">
                                <w:rPr>
                                  <w:i/>
                                  <w:iCs/>
                                  <w:sz w:val="16"/>
                                  <w:szCs w:val="16"/>
                                </w:rPr>
                                <w:t>/21</w:t>
                              </w:r>
                            </w:p>
                            <w:p w14:paraId="07070EDD" w14:textId="77777777" w:rsidR="000D0A5B" w:rsidRDefault="000D0A5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000AD2" id="_x0000_t202" coordsize="21600,21600" o:spt="202" path="m,l,21600r21600,l21600,xe">
                  <v:stroke joinstyle="miter"/>
                  <v:path gradientshapeok="t" o:connecttype="rect"/>
                </v:shapetype>
                <v:shape id="Text Box 1" o:spid="_x0000_s1027" type="#_x0000_t202" style="position:absolute;left:0;text-align:left;margin-left:0;margin-top:-2.3pt;width:1in;height:1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" fillcolor="white [3201]" stroked="f" strokeweight=".5pt">
                  <v:textbox>
                    <w:txbxContent>
                      <w:p w14:paraId="351D24F9" w14:textId="2883396B" w:rsidR="000D0A5B" w:rsidRPr="000D0A5B" w:rsidRDefault="000D0A5B" w:rsidP="000D0A5B">
                        <w:pPr>
                          <w:spacing w:after="0" w:line="240" w:lineRule="auto"/>
                          <w:rPr>
                            <w:rFonts w:cstheme="minorHAnsi"/>
                            <w:sz w:val="16"/>
                            <w:szCs w:val="16"/>
                          </w:rPr>
                        </w:pPr>
                        <w:r w:rsidRPr="000D0A5B">
                          <w:rPr>
                            <w:rFonts w:cstheme="minorHAnsi"/>
                            <w:sz w:val="16"/>
                            <w:szCs w:val="16"/>
                          </w:rPr>
                          <w:t xml:space="preserve">Coronavirus Local Fiscal Recovery Funds - </w:t>
                        </w:r>
                        <w:r w:rsidR="00F67639" w:rsidRPr="00F67639">
                          <w:rPr>
                            <w:rFonts w:cstheme="minorHAnsi"/>
                            <w:sz w:val="16"/>
                            <w:szCs w:val="16"/>
                          </w:rPr>
                          <w:t xml:space="preserve">Frequently Asked Questions on Allowable Uses and Reporting Requirements </w:t>
                        </w:r>
                      </w:p>
                      <w:p w14:paraId="3A202F50" w14:textId="43BAFF10" w:rsidR="000D0A5B" w:rsidRPr="000D0A5B" w:rsidRDefault="003D3889" w:rsidP="000D0A5B">
                        <w:pPr>
                          <w:pStyle w:val="Footer"/>
                          <w:rPr>
                            <w:i/>
                            <w:iCs/>
                            <w:sz w:val="16"/>
                            <w:szCs w:val="16"/>
                          </w:rPr>
                        </w:pPr>
                        <w:r>
                          <w:rPr>
                            <w:i/>
                            <w:iCs/>
                            <w:sz w:val="16"/>
                            <w:szCs w:val="16"/>
                          </w:rPr>
                          <w:t xml:space="preserve">Version </w:t>
                        </w:r>
                        <w:r w:rsidR="00AE3733">
                          <w:rPr>
                            <w:i/>
                            <w:iCs/>
                            <w:sz w:val="16"/>
                            <w:szCs w:val="16"/>
                          </w:rPr>
                          <w:t>1.</w:t>
                        </w:r>
                        <w:r w:rsidR="006669B7">
                          <w:rPr>
                            <w:i/>
                            <w:iCs/>
                            <w:sz w:val="16"/>
                            <w:szCs w:val="16"/>
                          </w:rPr>
                          <w:t>1</w:t>
                        </w:r>
                        <w:r>
                          <w:rPr>
                            <w:i/>
                            <w:iCs/>
                            <w:sz w:val="16"/>
                            <w:szCs w:val="16"/>
                          </w:rPr>
                          <w:t xml:space="preserve"> / </w:t>
                        </w:r>
                        <w:r w:rsidR="000D0A5B" w:rsidRPr="000D0A5B">
                          <w:rPr>
                            <w:i/>
                            <w:iCs/>
                            <w:sz w:val="16"/>
                            <w:szCs w:val="16"/>
                          </w:rPr>
                          <w:t>Last updated 6/1</w:t>
                        </w:r>
                        <w:r w:rsidR="006669B7">
                          <w:rPr>
                            <w:i/>
                            <w:iCs/>
                            <w:sz w:val="16"/>
                            <w:szCs w:val="16"/>
                          </w:rPr>
                          <w:t>6</w:t>
                        </w:r>
                        <w:r w:rsidR="000D0A5B" w:rsidRPr="000D0A5B">
                          <w:rPr>
                            <w:i/>
                            <w:iCs/>
                            <w:sz w:val="16"/>
                            <w:szCs w:val="16"/>
                          </w:rPr>
                          <w:t>/21</w:t>
                        </w:r>
                      </w:p>
                      <w:p w14:paraId="07070EDD" w14:textId="77777777" w:rsidR="000D0A5B" w:rsidRDefault="000D0A5B"/>
                    </w:txbxContent>
                  </v:textbox>
                  <w10:wrap anchorx="margin"/>
                </v:shape>
              </w:pict>
            </mc:Fallback>
          </mc:AlternateContent>
        </w:r>
        <w:r w:rsidR="006C0F3B" w:rsidRPr="000D0A5B">
          <w:rPr>
            <w:sz w:val="16"/>
            <w:szCs w:val="16"/>
          </w:rPr>
          <w:fldChar w:fldCharType="begin"/>
        </w:r>
        <w:r w:rsidR="006C0F3B" w:rsidRPr="000D0A5B">
          <w:rPr>
            <w:sz w:val="16"/>
            <w:szCs w:val="16"/>
          </w:rPr>
          <w:instrText xml:space="preserve"> PAGE   \* MERGEFORMAT </w:instrText>
        </w:r>
        <w:r w:rsidR="006C0F3B" w:rsidRPr="000D0A5B">
          <w:rPr>
            <w:sz w:val="16"/>
            <w:szCs w:val="16"/>
          </w:rPr>
          <w:fldChar w:fldCharType="separate"/>
        </w:r>
        <w:r w:rsidR="006C0F3B" w:rsidRPr="000D0A5B">
          <w:rPr>
            <w:noProof/>
            <w:sz w:val="16"/>
            <w:szCs w:val="16"/>
          </w:rPr>
          <w:t>2</w:t>
        </w:r>
        <w:r w:rsidR="006C0F3B" w:rsidRPr="000D0A5B">
          <w:rPr>
            <w:noProof/>
            <w:sz w:val="16"/>
            <w:szCs w:val="16"/>
          </w:rPr>
          <w:fldChar w:fldCharType="end"/>
        </w:r>
      </w:p>
    </w:sdtContent>
  </w:sdt>
  <w:p w14:paraId="3119C1D6" w14:textId="4ED00421" w:rsidR="006C0F3B" w:rsidRPr="000D0A5B" w:rsidRDefault="006C0F3B" w:rsidP="000D0A5B">
    <w:pPr>
      <w:spacing w:after="0" w:line="240" w:lineRule="auto"/>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36A2" w14:textId="77777777" w:rsidR="00DA0D34" w:rsidRDefault="00DA0D34" w:rsidP="00641C22">
      <w:pPr>
        <w:spacing w:after="0" w:line="240" w:lineRule="auto"/>
      </w:pPr>
      <w:r>
        <w:separator/>
      </w:r>
    </w:p>
  </w:footnote>
  <w:footnote w:type="continuationSeparator" w:id="0">
    <w:p w14:paraId="2E046A72" w14:textId="77777777" w:rsidR="00DA0D34" w:rsidRDefault="00DA0D34" w:rsidP="00641C22">
      <w:pPr>
        <w:spacing w:after="0" w:line="240" w:lineRule="auto"/>
      </w:pPr>
      <w:r>
        <w:continuationSeparator/>
      </w:r>
    </w:p>
  </w:footnote>
  <w:footnote w:type="continuationNotice" w:id="1">
    <w:p w14:paraId="5ED38BAC" w14:textId="77777777" w:rsidR="00DA0D34" w:rsidRDefault="00DA0D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DC7"/>
    <w:multiLevelType w:val="hybridMultilevel"/>
    <w:tmpl w:val="AB985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53113"/>
    <w:multiLevelType w:val="hybridMultilevel"/>
    <w:tmpl w:val="E3AE0E16"/>
    <w:lvl w:ilvl="0" w:tplc="ADB8D904">
      <w:start w:val="1"/>
      <w:numFmt w:val="bullet"/>
      <w:lvlText w:val="•"/>
      <w:lvlJc w:val="left"/>
      <w:pPr>
        <w:tabs>
          <w:tab w:val="num" w:pos="360"/>
        </w:tabs>
        <w:ind w:left="360" w:hanging="360"/>
      </w:pPr>
      <w:rPr>
        <w:rFonts w:ascii="Arial" w:hAnsi="Arial" w:hint="default"/>
      </w:rPr>
    </w:lvl>
    <w:lvl w:ilvl="1" w:tplc="3018699C" w:tentative="1">
      <w:start w:val="1"/>
      <w:numFmt w:val="bullet"/>
      <w:lvlText w:val="•"/>
      <w:lvlJc w:val="left"/>
      <w:pPr>
        <w:tabs>
          <w:tab w:val="num" w:pos="1080"/>
        </w:tabs>
        <w:ind w:left="1080" w:hanging="360"/>
      </w:pPr>
      <w:rPr>
        <w:rFonts w:ascii="Arial" w:hAnsi="Arial" w:hint="default"/>
      </w:rPr>
    </w:lvl>
    <w:lvl w:ilvl="2" w:tplc="270AEE0A" w:tentative="1">
      <w:start w:val="1"/>
      <w:numFmt w:val="bullet"/>
      <w:lvlText w:val="•"/>
      <w:lvlJc w:val="left"/>
      <w:pPr>
        <w:tabs>
          <w:tab w:val="num" w:pos="1800"/>
        </w:tabs>
        <w:ind w:left="1800" w:hanging="360"/>
      </w:pPr>
      <w:rPr>
        <w:rFonts w:ascii="Arial" w:hAnsi="Arial" w:hint="default"/>
      </w:rPr>
    </w:lvl>
    <w:lvl w:ilvl="3" w:tplc="8D60223E" w:tentative="1">
      <w:start w:val="1"/>
      <w:numFmt w:val="bullet"/>
      <w:lvlText w:val="•"/>
      <w:lvlJc w:val="left"/>
      <w:pPr>
        <w:tabs>
          <w:tab w:val="num" w:pos="2520"/>
        </w:tabs>
        <w:ind w:left="2520" w:hanging="360"/>
      </w:pPr>
      <w:rPr>
        <w:rFonts w:ascii="Arial" w:hAnsi="Arial" w:hint="default"/>
      </w:rPr>
    </w:lvl>
    <w:lvl w:ilvl="4" w:tplc="22FECF16" w:tentative="1">
      <w:start w:val="1"/>
      <w:numFmt w:val="bullet"/>
      <w:lvlText w:val="•"/>
      <w:lvlJc w:val="left"/>
      <w:pPr>
        <w:tabs>
          <w:tab w:val="num" w:pos="3240"/>
        </w:tabs>
        <w:ind w:left="3240" w:hanging="360"/>
      </w:pPr>
      <w:rPr>
        <w:rFonts w:ascii="Arial" w:hAnsi="Arial" w:hint="default"/>
      </w:rPr>
    </w:lvl>
    <w:lvl w:ilvl="5" w:tplc="3E98D362" w:tentative="1">
      <w:start w:val="1"/>
      <w:numFmt w:val="bullet"/>
      <w:lvlText w:val="•"/>
      <w:lvlJc w:val="left"/>
      <w:pPr>
        <w:tabs>
          <w:tab w:val="num" w:pos="3960"/>
        </w:tabs>
        <w:ind w:left="3960" w:hanging="360"/>
      </w:pPr>
      <w:rPr>
        <w:rFonts w:ascii="Arial" w:hAnsi="Arial" w:hint="default"/>
      </w:rPr>
    </w:lvl>
    <w:lvl w:ilvl="6" w:tplc="E6643ACE" w:tentative="1">
      <w:start w:val="1"/>
      <w:numFmt w:val="bullet"/>
      <w:lvlText w:val="•"/>
      <w:lvlJc w:val="left"/>
      <w:pPr>
        <w:tabs>
          <w:tab w:val="num" w:pos="4680"/>
        </w:tabs>
        <w:ind w:left="4680" w:hanging="360"/>
      </w:pPr>
      <w:rPr>
        <w:rFonts w:ascii="Arial" w:hAnsi="Arial" w:hint="default"/>
      </w:rPr>
    </w:lvl>
    <w:lvl w:ilvl="7" w:tplc="7828F678" w:tentative="1">
      <w:start w:val="1"/>
      <w:numFmt w:val="bullet"/>
      <w:lvlText w:val="•"/>
      <w:lvlJc w:val="left"/>
      <w:pPr>
        <w:tabs>
          <w:tab w:val="num" w:pos="5400"/>
        </w:tabs>
        <w:ind w:left="5400" w:hanging="360"/>
      </w:pPr>
      <w:rPr>
        <w:rFonts w:ascii="Arial" w:hAnsi="Arial" w:hint="default"/>
      </w:rPr>
    </w:lvl>
    <w:lvl w:ilvl="8" w:tplc="00CE273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FC47B5A"/>
    <w:multiLevelType w:val="hybridMultilevel"/>
    <w:tmpl w:val="21644ADE"/>
    <w:lvl w:ilvl="0" w:tplc="45262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0B39"/>
    <w:multiLevelType w:val="hybridMultilevel"/>
    <w:tmpl w:val="63E4A8B2"/>
    <w:lvl w:ilvl="0" w:tplc="452621A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D03B2"/>
    <w:multiLevelType w:val="hybridMultilevel"/>
    <w:tmpl w:val="0A187CDC"/>
    <w:lvl w:ilvl="0" w:tplc="3B326ED2">
      <w:start w:val="1"/>
      <w:numFmt w:val="bullet"/>
      <w:lvlText w:val=""/>
      <w:lvlJc w:val="left"/>
      <w:pPr>
        <w:tabs>
          <w:tab w:val="num" w:pos="720"/>
        </w:tabs>
        <w:ind w:left="720" w:hanging="360"/>
      </w:pPr>
      <w:rPr>
        <w:rFonts w:ascii="Symbol" w:hAnsi="Symbol" w:hint="default"/>
        <w:sz w:val="20"/>
      </w:rPr>
    </w:lvl>
    <w:lvl w:ilvl="1" w:tplc="07C0C274" w:tentative="1">
      <w:start w:val="1"/>
      <w:numFmt w:val="bullet"/>
      <w:lvlText w:val="o"/>
      <w:lvlJc w:val="left"/>
      <w:pPr>
        <w:tabs>
          <w:tab w:val="num" w:pos="1440"/>
        </w:tabs>
        <w:ind w:left="1440" w:hanging="360"/>
      </w:pPr>
      <w:rPr>
        <w:rFonts w:ascii="Courier New" w:hAnsi="Courier New" w:hint="default"/>
        <w:sz w:val="20"/>
      </w:rPr>
    </w:lvl>
    <w:lvl w:ilvl="2" w:tplc="6D6C59E2" w:tentative="1">
      <w:start w:val="1"/>
      <w:numFmt w:val="bullet"/>
      <w:lvlText w:val=""/>
      <w:lvlJc w:val="left"/>
      <w:pPr>
        <w:tabs>
          <w:tab w:val="num" w:pos="2160"/>
        </w:tabs>
        <w:ind w:left="2160" w:hanging="360"/>
      </w:pPr>
      <w:rPr>
        <w:rFonts w:ascii="Wingdings" w:hAnsi="Wingdings" w:hint="default"/>
        <w:sz w:val="20"/>
      </w:rPr>
    </w:lvl>
    <w:lvl w:ilvl="3" w:tplc="CFC668D4" w:tentative="1">
      <w:start w:val="1"/>
      <w:numFmt w:val="bullet"/>
      <w:lvlText w:val=""/>
      <w:lvlJc w:val="left"/>
      <w:pPr>
        <w:tabs>
          <w:tab w:val="num" w:pos="2880"/>
        </w:tabs>
        <w:ind w:left="2880" w:hanging="360"/>
      </w:pPr>
      <w:rPr>
        <w:rFonts w:ascii="Wingdings" w:hAnsi="Wingdings" w:hint="default"/>
        <w:sz w:val="20"/>
      </w:rPr>
    </w:lvl>
    <w:lvl w:ilvl="4" w:tplc="FD70366E" w:tentative="1">
      <w:start w:val="1"/>
      <w:numFmt w:val="bullet"/>
      <w:lvlText w:val=""/>
      <w:lvlJc w:val="left"/>
      <w:pPr>
        <w:tabs>
          <w:tab w:val="num" w:pos="3600"/>
        </w:tabs>
        <w:ind w:left="3600" w:hanging="360"/>
      </w:pPr>
      <w:rPr>
        <w:rFonts w:ascii="Wingdings" w:hAnsi="Wingdings" w:hint="default"/>
        <w:sz w:val="20"/>
      </w:rPr>
    </w:lvl>
    <w:lvl w:ilvl="5" w:tplc="82FA3B3A" w:tentative="1">
      <w:start w:val="1"/>
      <w:numFmt w:val="bullet"/>
      <w:lvlText w:val=""/>
      <w:lvlJc w:val="left"/>
      <w:pPr>
        <w:tabs>
          <w:tab w:val="num" w:pos="4320"/>
        </w:tabs>
        <w:ind w:left="4320" w:hanging="360"/>
      </w:pPr>
      <w:rPr>
        <w:rFonts w:ascii="Wingdings" w:hAnsi="Wingdings" w:hint="default"/>
        <w:sz w:val="20"/>
      </w:rPr>
    </w:lvl>
    <w:lvl w:ilvl="6" w:tplc="753ACDB8" w:tentative="1">
      <w:start w:val="1"/>
      <w:numFmt w:val="bullet"/>
      <w:lvlText w:val=""/>
      <w:lvlJc w:val="left"/>
      <w:pPr>
        <w:tabs>
          <w:tab w:val="num" w:pos="5040"/>
        </w:tabs>
        <w:ind w:left="5040" w:hanging="360"/>
      </w:pPr>
      <w:rPr>
        <w:rFonts w:ascii="Wingdings" w:hAnsi="Wingdings" w:hint="default"/>
        <w:sz w:val="20"/>
      </w:rPr>
    </w:lvl>
    <w:lvl w:ilvl="7" w:tplc="A19C7B3C" w:tentative="1">
      <w:start w:val="1"/>
      <w:numFmt w:val="bullet"/>
      <w:lvlText w:val=""/>
      <w:lvlJc w:val="left"/>
      <w:pPr>
        <w:tabs>
          <w:tab w:val="num" w:pos="5760"/>
        </w:tabs>
        <w:ind w:left="5760" w:hanging="360"/>
      </w:pPr>
      <w:rPr>
        <w:rFonts w:ascii="Wingdings" w:hAnsi="Wingdings" w:hint="default"/>
        <w:sz w:val="20"/>
      </w:rPr>
    </w:lvl>
    <w:lvl w:ilvl="8" w:tplc="2D86D9B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5697F"/>
    <w:multiLevelType w:val="hybridMultilevel"/>
    <w:tmpl w:val="04BCF516"/>
    <w:lvl w:ilvl="0" w:tplc="056084A2">
      <w:start w:val="1"/>
      <w:numFmt w:val="bullet"/>
      <w:lvlText w:val="•"/>
      <w:lvlJc w:val="left"/>
      <w:pPr>
        <w:tabs>
          <w:tab w:val="num" w:pos="360"/>
        </w:tabs>
        <w:ind w:left="360" w:hanging="360"/>
      </w:pPr>
      <w:rPr>
        <w:rFonts w:ascii="Arial" w:hAnsi="Arial" w:hint="default"/>
      </w:rPr>
    </w:lvl>
    <w:lvl w:ilvl="1" w:tplc="B662867E" w:tentative="1">
      <w:start w:val="1"/>
      <w:numFmt w:val="bullet"/>
      <w:lvlText w:val="•"/>
      <w:lvlJc w:val="left"/>
      <w:pPr>
        <w:tabs>
          <w:tab w:val="num" w:pos="1080"/>
        </w:tabs>
        <w:ind w:left="1080" w:hanging="360"/>
      </w:pPr>
      <w:rPr>
        <w:rFonts w:ascii="Arial" w:hAnsi="Arial" w:hint="default"/>
      </w:rPr>
    </w:lvl>
    <w:lvl w:ilvl="2" w:tplc="2318BF9A" w:tentative="1">
      <w:start w:val="1"/>
      <w:numFmt w:val="bullet"/>
      <w:lvlText w:val="•"/>
      <w:lvlJc w:val="left"/>
      <w:pPr>
        <w:tabs>
          <w:tab w:val="num" w:pos="1800"/>
        </w:tabs>
        <w:ind w:left="1800" w:hanging="360"/>
      </w:pPr>
      <w:rPr>
        <w:rFonts w:ascii="Arial" w:hAnsi="Arial" w:hint="default"/>
      </w:rPr>
    </w:lvl>
    <w:lvl w:ilvl="3" w:tplc="F8C07960" w:tentative="1">
      <w:start w:val="1"/>
      <w:numFmt w:val="bullet"/>
      <w:lvlText w:val="•"/>
      <w:lvlJc w:val="left"/>
      <w:pPr>
        <w:tabs>
          <w:tab w:val="num" w:pos="2520"/>
        </w:tabs>
        <w:ind w:left="2520" w:hanging="360"/>
      </w:pPr>
      <w:rPr>
        <w:rFonts w:ascii="Arial" w:hAnsi="Arial" w:hint="default"/>
      </w:rPr>
    </w:lvl>
    <w:lvl w:ilvl="4" w:tplc="FC027E60" w:tentative="1">
      <w:start w:val="1"/>
      <w:numFmt w:val="bullet"/>
      <w:lvlText w:val="•"/>
      <w:lvlJc w:val="left"/>
      <w:pPr>
        <w:tabs>
          <w:tab w:val="num" w:pos="3240"/>
        </w:tabs>
        <w:ind w:left="3240" w:hanging="360"/>
      </w:pPr>
      <w:rPr>
        <w:rFonts w:ascii="Arial" w:hAnsi="Arial" w:hint="default"/>
      </w:rPr>
    </w:lvl>
    <w:lvl w:ilvl="5" w:tplc="93906E5A" w:tentative="1">
      <w:start w:val="1"/>
      <w:numFmt w:val="bullet"/>
      <w:lvlText w:val="•"/>
      <w:lvlJc w:val="left"/>
      <w:pPr>
        <w:tabs>
          <w:tab w:val="num" w:pos="3960"/>
        </w:tabs>
        <w:ind w:left="3960" w:hanging="360"/>
      </w:pPr>
      <w:rPr>
        <w:rFonts w:ascii="Arial" w:hAnsi="Arial" w:hint="default"/>
      </w:rPr>
    </w:lvl>
    <w:lvl w:ilvl="6" w:tplc="D4544350" w:tentative="1">
      <w:start w:val="1"/>
      <w:numFmt w:val="bullet"/>
      <w:lvlText w:val="•"/>
      <w:lvlJc w:val="left"/>
      <w:pPr>
        <w:tabs>
          <w:tab w:val="num" w:pos="4680"/>
        </w:tabs>
        <w:ind w:left="4680" w:hanging="360"/>
      </w:pPr>
      <w:rPr>
        <w:rFonts w:ascii="Arial" w:hAnsi="Arial" w:hint="default"/>
      </w:rPr>
    </w:lvl>
    <w:lvl w:ilvl="7" w:tplc="B358A4A0" w:tentative="1">
      <w:start w:val="1"/>
      <w:numFmt w:val="bullet"/>
      <w:lvlText w:val="•"/>
      <w:lvlJc w:val="left"/>
      <w:pPr>
        <w:tabs>
          <w:tab w:val="num" w:pos="5400"/>
        </w:tabs>
        <w:ind w:left="5400" w:hanging="360"/>
      </w:pPr>
      <w:rPr>
        <w:rFonts w:ascii="Arial" w:hAnsi="Arial" w:hint="default"/>
      </w:rPr>
    </w:lvl>
    <w:lvl w:ilvl="8" w:tplc="1BD28DD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8F552D4"/>
    <w:multiLevelType w:val="hybridMultilevel"/>
    <w:tmpl w:val="DD06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04D47"/>
    <w:multiLevelType w:val="hybridMultilevel"/>
    <w:tmpl w:val="BC62B2BA"/>
    <w:lvl w:ilvl="0" w:tplc="230A8E7A">
      <w:start w:val="1"/>
      <w:numFmt w:val="lowerLetter"/>
      <w:lvlText w:val="%1)"/>
      <w:lvlJc w:val="left"/>
      <w:pPr>
        <w:ind w:left="360" w:hanging="360"/>
      </w:pPr>
      <w:rPr>
        <w:rFonts w:hint="default"/>
        <w:i/>
        <w:iCs/>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DF4EFB"/>
    <w:multiLevelType w:val="hybridMultilevel"/>
    <w:tmpl w:val="7AB02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9C4BC6"/>
    <w:multiLevelType w:val="hybridMultilevel"/>
    <w:tmpl w:val="66DC9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703FB"/>
    <w:multiLevelType w:val="multilevel"/>
    <w:tmpl w:val="C7F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B1635B"/>
    <w:multiLevelType w:val="hybridMultilevel"/>
    <w:tmpl w:val="BD38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C489D"/>
    <w:multiLevelType w:val="hybridMultilevel"/>
    <w:tmpl w:val="D052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2"/>
  </w:num>
  <w:num w:numId="6">
    <w:abstractNumId w:val="2"/>
  </w:num>
  <w:num w:numId="7">
    <w:abstractNumId w:val="3"/>
  </w:num>
  <w:num w:numId="8">
    <w:abstractNumId w:val="11"/>
  </w:num>
  <w:num w:numId="9">
    <w:abstractNumId w:val="7"/>
  </w:num>
  <w:num w:numId="10">
    <w:abstractNumId w:val="10"/>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45"/>
    <w:rsid w:val="000121F1"/>
    <w:rsid w:val="00077A03"/>
    <w:rsid w:val="00092E4F"/>
    <w:rsid w:val="00097D56"/>
    <w:rsid w:val="000A533C"/>
    <w:rsid w:val="000D0A5B"/>
    <w:rsid w:val="00126A28"/>
    <w:rsid w:val="00160271"/>
    <w:rsid w:val="001B004D"/>
    <w:rsid w:val="001C737C"/>
    <w:rsid w:val="00201D45"/>
    <w:rsid w:val="00226550"/>
    <w:rsid w:val="00237BBE"/>
    <w:rsid w:val="00267538"/>
    <w:rsid w:val="0029157D"/>
    <w:rsid w:val="00294F7C"/>
    <w:rsid w:val="002B747D"/>
    <w:rsid w:val="002E39CB"/>
    <w:rsid w:val="002E537D"/>
    <w:rsid w:val="00331169"/>
    <w:rsid w:val="003648C2"/>
    <w:rsid w:val="0036593A"/>
    <w:rsid w:val="0039587A"/>
    <w:rsid w:val="003D3889"/>
    <w:rsid w:val="00425EDF"/>
    <w:rsid w:val="004320E5"/>
    <w:rsid w:val="0044290D"/>
    <w:rsid w:val="00472EC3"/>
    <w:rsid w:val="0048113E"/>
    <w:rsid w:val="004906B7"/>
    <w:rsid w:val="0049389A"/>
    <w:rsid w:val="004B2467"/>
    <w:rsid w:val="004C21CA"/>
    <w:rsid w:val="004C6234"/>
    <w:rsid w:val="004D3E4F"/>
    <w:rsid w:val="0051392A"/>
    <w:rsid w:val="00537A3D"/>
    <w:rsid w:val="005B4FAE"/>
    <w:rsid w:val="005B7A20"/>
    <w:rsid w:val="00641C22"/>
    <w:rsid w:val="00657909"/>
    <w:rsid w:val="00666581"/>
    <w:rsid w:val="006669B7"/>
    <w:rsid w:val="0067725A"/>
    <w:rsid w:val="00677586"/>
    <w:rsid w:val="00687472"/>
    <w:rsid w:val="006C0F3B"/>
    <w:rsid w:val="006C38CA"/>
    <w:rsid w:val="006C55B1"/>
    <w:rsid w:val="00754923"/>
    <w:rsid w:val="007749DC"/>
    <w:rsid w:val="00776A47"/>
    <w:rsid w:val="007852E5"/>
    <w:rsid w:val="007A3356"/>
    <w:rsid w:val="007B4AEB"/>
    <w:rsid w:val="00821D38"/>
    <w:rsid w:val="008350DE"/>
    <w:rsid w:val="00843298"/>
    <w:rsid w:val="00882508"/>
    <w:rsid w:val="00934765"/>
    <w:rsid w:val="00980978"/>
    <w:rsid w:val="00983590"/>
    <w:rsid w:val="009845F7"/>
    <w:rsid w:val="00A151A9"/>
    <w:rsid w:val="00A2282D"/>
    <w:rsid w:val="00A335C4"/>
    <w:rsid w:val="00A35315"/>
    <w:rsid w:val="00A4467C"/>
    <w:rsid w:val="00A615D1"/>
    <w:rsid w:val="00A65828"/>
    <w:rsid w:val="00AB63A4"/>
    <w:rsid w:val="00AE3733"/>
    <w:rsid w:val="00AF027A"/>
    <w:rsid w:val="00B203AC"/>
    <w:rsid w:val="00B54026"/>
    <w:rsid w:val="00B852B4"/>
    <w:rsid w:val="00BD7F31"/>
    <w:rsid w:val="00C10C95"/>
    <w:rsid w:val="00C11DE2"/>
    <w:rsid w:val="00CC05EF"/>
    <w:rsid w:val="00CD0867"/>
    <w:rsid w:val="00CD1E7C"/>
    <w:rsid w:val="00CD3DA7"/>
    <w:rsid w:val="00CE4EC8"/>
    <w:rsid w:val="00CF0011"/>
    <w:rsid w:val="00D1051E"/>
    <w:rsid w:val="00D1441D"/>
    <w:rsid w:val="00D72579"/>
    <w:rsid w:val="00DA0D34"/>
    <w:rsid w:val="00DD74E3"/>
    <w:rsid w:val="00DF672F"/>
    <w:rsid w:val="00E5530A"/>
    <w:rsid w:val="00EA1DF7"/>
    <w:rsid w:val="00EC08FB"/>
    <w:rsid w:val="00F33CBF"/>
    <w:rsid w:val="00F5779F"/>
    <w:rsid w:val="00F6020A"/>
    <w:rsid w:val="00F64B0C"/>
    <w:rsid w:val="00F67639"/>
    <w:rsid w:val="00F7698B"/>
    <w:rsid w:val="00F81AB5"/>
    <w:rsid w:val="00FA6264"/>
    <w:rsid w:val="00FD7CE3"/>
    <w:rsid w:val="0F21031A"/>
    <w:rsid w:val="1B86B6B8"/>
    <w:rsid w:val="1CD3A876"/>
    <w:rsid w:val="2535418A"/>
    <w:rsid w:val="2EA74F6A"/>
    <w:rsid w:val="3D5239F3"/>
    <w:rsid w:val="40485134"/>
    <w:rsid w:val="4DC40FEC"/>
    <w:rsid w:val="51AA4C50"/>
    <w:rsid w:val="52B21EC5"/>
    <w:rsid w:val="57C9319F"/>
    <w:rsid w:val="581A2588"/>
    <w:rsid w:val="5D04448E"/>
    <w:rsid w:val="5EB1E687"/>
    <w:rsid w:val="6238E7F5"/>
    <w:rsid w:val="677EA7A6"/>
    <w:rsid w:val="6B66F97A"/>
    <w:rsid w:val="6BBF22E1"/>
    <w:rsid w:val="743E40D5"/>
    <w:rsid w:val="7A80EACA"/>
    <w:rsid w:val="7C69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706D"/>
  <w15:chartTrackingRefBased/>
  <w15:docId w15:val="{C982F621-0D64-443E-B3CD-6CA3E293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6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5B1"/>
    <w:rPr>
      <w:color w:val="0563C1" w:themeColor="hyperlink"/>
      <w:u w:val="single"/>
    </w:rPr>
  </w:style>
  <w:style w:type="character" w:styleId="UnresolvedMention">
    <w:name w:val="Unresolved Mention"/>
    <w:basedOn w:val="DefaultParagraphFont"/>
    <w:uiPriority w:val="99"/>
    <w:semiHidden/>
    <w:unhideWhenUsed/>
    <w:rsid w:val="006C55B1"/>
    <w:rPr>
      <w:color w:val="605E5C"/>
      <w:shd w:val="clear" w:color="auto" w:fill="E1DFDD"/>
    </w:rPr>
  </w:style>
  <w:style w:type="character" w:customStyle="1" w:styleId="Heading2Char">
    <w:name w:val="Heading 2 Char"/>
    <w:basedOn w:val="DefaultParagraphFont"/>
    <w:link w:val="Heading2"/>
    <w:uiPriority w:val="9"/>
    <w:rsid w:val="00226550"/>
    <w:rPr>
      <w:rFonts w:ascii="Times New Roman" w:eastAsia="Times New Roman" w:hAnsi="Times New Roman" w:cs="Times New Roman"/>
      <w:b/>
      <w:bCs/>
      <w:sz w:val="36"/>
      <w:szCs w:val="36"/>
    </w:rPr>
  </w:style>
  <w:style w:type="paragraph" w:styleId="ListParagraph">
    <w:name w:val="List Paragraph"/>
    <w:basedOn w:val="Normal"/>
    <w:uiPriority w:val="34"/>
    <w:qFormat/>
    <w:rsid w:val="00226550"/>
    <w:pPr>
      <w:ind w:left="720"/>
      <w:contextualSpacing/>
    </w:pPr>
  </w:style>
  <w:style w:type="paragraph" w:styleId="Header">
    <w:name w:val="header"/>
    <w:basedOn w:val="Normal"/>
    <w:link w:val="HeaderChar"/>
    <w:uiPriority w:val="99"/>
    <w:unhideWhenUsed/>
    <w:rsid w:val="006C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F3B"/>
  </w:style>
  <w:style w:type="paragraph" w:styleId="Footer">
    <w:name w:val="footer"/>
    <w:basedOn w:val="Normal"/>
    <w:link w:val="FooterChar"/>
    <w:uiPriority w:val="99"/>
    <w:unhideWhenUsed/>
    <w:rsid w:val="006C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3B"/>
  </w:style>
  <w:style w:type="character" w:styleId="FollowedHyperlink">
    <w:name w:val="FollowedHyperlink"/>
    <w:basedOn w:val="DefaultParagraphFont"/>
    <w:uiPriority w:val="99"/>
    <w:semiHidden/>
    <w:unhideWhenUsed/>
    <w:rsid w:val="00F81AB5"/>
    <w:rPr>
      <w:color w:val="954F72" w:themeColor="followedHyperlink"/>
      <w:u w:val="single"/>
    </w:rPr>
  </w:style>
  <w:style w:type="paragraph" w:styleId="BalloonText">
    <w:name w:val="Balloon Text"/>
    <w:basedOn w:val="Normal"/>
    <w:link w:val="BalloonTextChar"/>
    <w:uiPriority w:val="99"/>
    <w:semiHidden/>
    <w:unhideWhenUsed/>
    <w:rsid w:val="00F8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B5"/>
    <w:rPr>
      <w:rFonts w:ascii="Segoe UI" w:hAnsi="Segoe UI" w:cs="Segoe UI"/>
      <w:sz w:val="18"/>
      <w:szCs w:val="18"/>
    </w:rPr>
  </w:style>
  <w:style w:type="character" w:customStyle="1" w:styleId="normaltextrun">
    <w:name w:val="normaltextrun"/>
    <w:basedOn w:val="DefaultParagraphFont"/>
    <w:rsid w:val="00160271"/>
  </w:style>
  <w:style w:type="paragraph" w:customStyle="1" w:styleId="paragraph">
    <w:name w:val="paragraph"/>
    <w:basedOn w:val="Normal"/>
    <w:rsid w:val="004D3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D3E4F"/>
  </w:style>
  <w:style w:type="paragraph" w:styleId="NormalWeb">
    <w:name w:val="Normal (Web)"/>
    <w:basedOn w:val="Normal"/>
    <w:uiPriority w:val="99"/>
    <w:semiHidden/>
    <w:unhideWhenUsed/>
    <w:rsid w:val="00425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92662">
      <w:bodyDiv w:val="1"/>
      <w:marLeft w:val="0"/>
      <w:marRight w:val="0"/>
      <w:marTop w:val="0"/>
      <w:marBottom w:val="0"/>
      <w:divBdr>
        <w:top w:val="none" w:sz="0" w:space="0" w:color="auto"/>
        <w:left w:val="none" w:sz="0" w:space="0" w:color="auto"/>
        <w:bottom w:val="none" w:sz="0" w:space="0" w:color="auto"/>
        <w:right w:val="none" w:sz="0" w:space="0" w:color="auto"/>
      </w:divBdr>
      <w:divsChild>
        <w:div w:id="1152865245">
          <w:marLeft w:val="0"/>
          <w:marRight w:val="0"/>
          <w:marTop w:val="0"/>
          <w:marBottom w:val="0"/>
          <w:divBdr>
            <w:top w:val="none" w:sz="0" w:space="0" w:color="auto"/>
            <w:left w:val="none" w:sz="0" w:space="0" w:color="auto"/>
            <w:bottom w:val="none" w:sz="0" w:space="0" w:color="auto"/>
            <w:right w:val="none" w:sz="0" w:space="0" w:color="auto"/>
          </w:divBdr>
        </w:div>
      </w:divsChild>
    </w:div>
    <w:div w:id="322121943">
      <w:bodyDiv w:val="1"/>
      <w:marLeft w:val="0"/>
      <w:marRight w:val="0"/>
      <w:marTop w:val="0"/>
      <w:marBottom w:val="0"/>
      <w:divBdr>
        <w:top w:val="none" w:sz="0" w:space="0" w:color="auto"/>
        <w:left w:val="none" w:sz="0" w:space="0" w:color="auto"/>
        <w:bottom w:val="none" w:sz="0" w:space="0" w:color="auto"/>
        <w:right w:val="none" w:sz="0" w:space="0" w:color="auto"/>
      </w:divBdr>
    </w:div>
    <w:div w:id="395713316">
      <w:bodyDiv w:val="1"/>
      <w:marLeft w:val="0"/>
      <w:marRight w:val="0"/>
      <w:marTop w:val="0"/>
      <w:marBottom w:val="0"/>
      <w:divBdr>
        <w:top w:val="none" w:sz="0" w:space="0" w:color="auto"/>
        <w:left w:val="none" w:sz="0" w:space="0" w:color="auto"/>
        <w:bottom w:val="none" w:sz="0" w:space="0" w:color="auto"/>
        <w:right w:val="none" w:sz="0" w:space="0" w:color="auto"/>
      </w:divBdr>
    </w:div>
    <w:div w:id="1101025955">
      <w:bodyDiv w:val="1"/>
      <w:marLeft w:val="0"/>
      <w:marRight w:val="0"/>
      <w:marTop w:val="0"/>
      <w:marBottom w:val="0"/>
      <w:divBdr>
        <w:top w:val="none" w:sz="0" w:space="0" w:color="auto"/>
        <w:left w:val="none" w:sz="0" w:space="0" w:color="auto"/>
        <w:bottom w:val="none" w:sz="0" w:space="0" w:color="auto"/>
        <w:right w:val="none" w:sz="0" w:space="0" w:color="auto"/>
      </w:divBdr>
      <w:divsChild>
        <w:div w:id="810438412">
          <w:marLeft w:val="720"/>
          <w:marRight w:val="0"/>
          <w:marTop w:val="0"/>
          <w:marBottom w:val="240"/>
          <w:divBdr>
            <w:top w:val="none" w:sz="0" w:space="0" w:color="auto"/>
            <w:left w:val="none" w:sz="0" w:space="0" w:color="auto"/>
            <w:bottom w:val="none" w:sz="0" w:space="0" w:color="auto"/>
            <w:right w:val="none" w:sz="0" w:space="0" w:color="auto"/>
          </w:divBdr>
        </w:div>
        <w:div w:id="1143545429">
          <w:marLeft w:val="720"/>
          <w:marRight w:val="0"/>
          <w:marTop w:val="0"/>
          <w:marBottom w:val="240"/>
          <w:divBdr>
            <w:top w:val="none" w:sz="0" w:space="0" w:color="auto"/>
            <w:left w:val="none" w:sz="0" w:space="0" w:color="auto"/>
            <w:bottom w:val="none" w:sz="0" w:space="0" w:color="auto"/>
            <w:right w:val="none" w:sz="0" w:space="0" w:color="auto"/>
          </w:divBdr>
        </w:div>
        <w:div w:id="1964533000">
          <w:marLeft w:val="720"/>
          <w:marRight w:val="0"/>
          <w:marTop w:val="0"/>
          <w:marBottom w:val="240"/>
          <w:divBdr>
            <w:top w:val="none" w:sz="0" w:space="0" w:color="auto"/>
            <w:left w:val="none" w:sz="0" w:space="0" w:color="auto"/>
            <w:bottom w:val="none" w:sz="0" w:space="0" w:color="auto"/>
            <w:right w:val="none" w:sz="0" w:space="0" w:color="auto"/>
          </w:divBdr>
        </w:div>
        <w:div w:id="989795293">
          <w:marLeft w:val="446"/>
          <w:marRight w:val="0"/>
          <w:marTop w:val="0"/>
          <w:marBottom w:val="240"/>
          <w:divBdr>
            <w:top w:val="none" w:sz="0" w:space="0" w:color="auto"/>
            <w:left w:val="none" w:sz="0" w:space="0" w:color="auto"/>
            <w:bottom w:val="none" w:sz="0" w:space="0" w:color="auto"/>
            <w:right w:val="none" w:sz="0" w:space="0" w:color="auto"/>
          </w:divBdr>
        </w:div>
        <w:div w:id="1420633529">
          <w:marLeft w:val="446"/>
          <w:marRight w:val="0"/>
          <w:marTop w:val="0"/>
          <w:marBottom w:val="240"/>
          <w:divBdr>
            <w:top w:val="none" w:sz="0" w:space="0" w:color="auto"/>
            <w:left w:val="none" w:sz="0" w:space="0" w:color="auto"/>
            <w:bottom w:val="none" w:sz="0" w:space="0" w:color="auto"/>
            <w:right w:val="none" w:sz="0" w:space="0" w:color="auto"/>
          </w:divBdr>
        </w:div>
      </w:divsChild>
    </w:div>
    <w:div w:id="11463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treasury.gov/system/files/136/NEU_Checklist_for_Requesting_Initial_Payment.pdf" TargetMode="External"/><Relationship Id="rId18" Type="http://schemas.openxmlformats.org/officeDocument/2006/relationships/hyperlink" Target="https://www.ecfr.gov/cgi-bin/text-idx?tpl=/ecfrbrowse/Title02/2cfr200_main_02.tpl" TargetMode="External"/><Relationship Id="rId26" Type="http://schemas.openxmlformats.org/officeDocument/2006/relationships/hyperlink" Target="https://home.treasury.gov/system/files/136/SLFRPFAQ.pdf" TargetMode="External"/><Relationship Id="rId3" Type="http://schemas.openxmlformats.org/officeDocument/2006/relationships/customXml" Target="../customXml/item3.xml"/><Relationship Id="rId21" Type="http://schemas.openxmlformats.org/officeDocument/2006/relationships/hyperlink" Target="https://home.treasury.gov/system/files/136/SLFRPFAQ.pdf" TargetMode="External"/><Relationship Id="rId7" Type="http://schemas.openxmlformats.org/officeDocument/2006/relationships/webSettings" Target="webSettings.xml"/><Relationship Id="rId12" Type="http://schemas.openxmlformats.org/officeDocument/2006/relationships/hyperlink" Target="https://www.goferr.nh.gov/" TargetMode="External"/><Relationship Id="rId17" Type="http://schemas.openxmlformats.org/officeDocument/2006/relationships/hyperlink" Target="https://sam.gov/fal/7cecfdef62dc42729a3fdcd449bd62b8/view" TargetMode="External"/><Relationship Id="rId25" Type="http://schemas.openxmlformats.org/officeDocument/2006/relationships/hyperlink" Target="https://home.treasury.gov/system/files/136/SLFRPFAQ.pdf" TargetMode="External"/><Relationship Id="rId2" Type="http://schemas.openxmlformats.org/officeDocument/2006/relationships/customXml" Target="../customXml/item2.xml"/><Relationship Id="rId16" Type="http://schemas.openxmlformats.org/officeDocument/2006/relationships/hyperlink" Target="https://home.treasury.gov/system/files/136/SLFRPFAQ.pdf" TargetMode="External"/><Relationship Id="rId20" Type="http://schemas.openxmlformats.org/officeDocument/2006/relationships/hyperlink" Target="https://home.treasury.gov/system/files/136/SLFRPFAQ.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treasury.gov/system/files/136/List_of_Local_Governments.xlsx" TargetMode="External"/><Relationship Id="rId24" Type="http://schemas.openxmlformats.org/officeDocument/2006/relationships/hyperlink" Target="https://home.treasury.gov/system/files/136/SLFRPFAQ.pdf" TargetMode="External"/><Relationship Id="rId5" Type="http://schemas.openxmlformats.org/officeDocument/2006/relationships/styles" Target="styles.xml"/><Relationship Id="rId15" Type="http://schemas.openxmlformats.org/officeDocument/2006/relationships/hyperlink" Target="https://home.treasury.gov/system/files/136/Title_VI_Assurances.pdf" TargetMode="External"/><Relationship Id="rId23" Type="http://schemas.openxmlformats.org/officeDocument/2006/relationships/hyperlink" Target="https://home.treasury.gov/system/files/136/SLFRPFAQ.pdf"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home.treasury.gov/system/files/136/SLFRPFAQ.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me.treasury.gov/system/files/136/NEU_Award_Terms_and_Conditions.pdf" TargetMode="External"/><Relationship Id="rId22" Type="http://schemas.openxmlformats.org/officeDocument/2006/relationships/hyperlink" Target="https://home.treasury.gov/system/files/136/SLFRPFAQ.pdf" TargetMode="External"/><Relationship Id="rId27" Type="http://schemas.openxmlformats.org/officeDocument/2006/relationships/hyperlink" Target="https://home.treasury.gov/system/files/136/SLFRPFAQ.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1DE150D903647AF6595931C21CDC9" ma:contentTypeVersion="4" ma:contentTypeDescription="Create a new document." ma:contentTypeScope="" ma:versionID="214f94c8e06ccc13d475e0c2870c5555">
  <xsd:schema xmlns:xsd="http://www.w3.org/2001/XMLSchema" xmlns:xs="http://www.w3.org/2001/XMLSchema" xmlns:p="http://schemas.microsoft.com/office/2006/metadata/properties" xmlns:ns2="46c94151-13e3-46b9-aa39-9f69992faf53" targetNamespace="http://schemas.microsoft.com/office/2006/metadata/properties" ma:root="true" ma:fieldsID="2212c736e8174f8b029b91a4bf901805" ns2:_="">
    <xsd:import namespace="46c94151-13e3-46b9-aa39-9f69992fa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94151-13e3-46b9-aa39-9f69992fa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33EDE-2844-4867-82FB-FC45D02A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94151-13e3-46b9-aa39-9f69992fa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10840-AD80-4223-A76B-4D8195FE1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E1F45-4A56-4CF9-9761-35B32F7EA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2406</Words>
  <Characters>13719</Characters>
  <Application>Microsoft Office Word</Application>
  <DocSecurity>0</DocSecurity>
  <Lines>114</Lines>
  <Paragraphs>32</Paragraphs>
  <ScaleCrop>false</ScaleCrop>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Dahlberg</dc:creator>
  <cp:keywords/>
  <dc:description/>
  <cp:lastModifiedBy>Margaret Byrnes</cp:lastModifiedBy>
  <cp:revision>2</cp:revision>
  <dcterms:created xsi:type="dcterms:W3CDTF">2021-06-17T16:37:00Z</dcterms:created>
  <dcterms:modified xsi:type="dcterms:W3CDTF">2021-06-17T16:37:00Z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0x0101006311DE150D903647AF6595931C21CDC9</vt:lpwstr>
  </property>
</Properties>
</file>